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D73" w:rsidRPr="00576939" w:rsidRDefault="00712D73" w:rsidP="00712D73">
      <w:pPr>
        <w:rPr>
          <w:color w:val="800000"/>
        </w:rPr>
      </w:pPr>
    </w:p>
    <w:p w:rsidR="00712D73" w:rsidRPr="00576939" w:rsidRDefault="00712D73" w:rsidP="00712D73">
      <w:pPr>
        <w:pStyle w:val="align-center"/>
        <w:jc w:val="both"/>
        <w:rPr>
          <w:b w:val="0"/>
          <w:bCs/>
          <w:color w:val="800000"/>
          <w:lang w:val="sr-Cyrl-RS"/>
        </w:rPr>
      </w:pPr>
    </w:p>
    <w:p w:rsidR="00712D73" w:rsidRPr="008105BE" w:rsidRDefault="00712D73" w:rsidP="00712D73">
      <w:pPr>
        <w:pStyle w:val="align-center"/>
        <w:rPr>
          <w:rFonts w:cs="Arial"/>
          <w:b w:val="0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lang w:val="ru-RU"/>
        </w:rPr>
        <w:t>REPUBLIKA</w:t>
      </w:r>
      <w:r w:rsidRPr="008105BE">
        <w:rPr>
          <w:rFonts w:cs="Arial"/>
          <w:bCs/>
          <w:sz w:val="28"/>
          <w:szCs w:val="28"/>
          <w:lang w:val="ru-RU"/>
        </w:rPr>
        <w:t xml:space="preserve"> </w:t>
      </w:r>
      <w:r>
        <w:rPr>
          <w:rFonts w:cs="Arial"/>
          <w:bCs/>
          <w:sz w:val="28"/>
          <w:szCs w:val="28"/>
          <w:lang w:val="ru-RU"/>
        </w:rPr>
        <w:t>SRBIJA</w:t>
      </w:r>
    </w:p>
    <w:p w:rsidR="00712D73" w:rsidRPr="008105BE" w:rsidRDefault="00712D73" w:rsidP="00712D73">
      <w:pPr>
        <w:pStyle w:val="align-center"/>
        <w:rPr>
          <w:rFonts w:cs="Arial"/>
          <w:b w:val="0"/>
          <w:bCs/>
          <w:sz w:val="28"/>
          <w:szCs w:val="28"/>
          <w:lang w:val="ru-RU"/>
        </w:rPr>
      </w:pPr>
      <w:r>
        <w:rPr>
          <w:rFonts w:cs="Arial"/>
          <w:bCs/>
          <w:sz w:val="28"/>
          <w:szCs w:val="28"/>
          <w:lang w:val="ru-RU"/>
        </w:rPr>
        <w:t>NARODNA</w:t>
      </w:r>
      <w:r w:rsidRPr="008105BE">
        <w:rPr>
          <w:rFonts w:cs="Arial"/>
          <w:bCs/>
          <w:sz w:val="28"/>
          <w:szCs w:val="28"/>
          <w:lang w:val="ru-RU"/>
        </w:rPr>
        <w:t xml:space="preserve"> </w:t>
      </w:r>
      <w:r>
        <w:rPr>
          <w:rFonts w:cs="Arial"/>
          <w:bCs/>
          <w:sz w:val="28"/>
          <w:szCs w:val="28"/>
          <w:lang w:val="ru-RU"/>
        </w:rPr>
        <w:t>SKUPŠTINA</w:t>
      </w:r>
    </w:p>
    <w:p w:rsidR="00712D73" w:rsidRPr="008105BE" w:rsidRDefault="00712D73" w:rsidP="00712D73">
      <w:pPr>
        <w:pStyle w:val="align-center"/>
        <w:rPr>
          <w:rFonts w:cs="Arial"/>
          <w:b w:val="0"/>
          <w:bCs/>
          <w:sz w:val="28"/>
          <w:szCs w:val="28"/>
          <w:lang w:val="sr-Cyrl-CS"/>
        </w:rPr>
      </w:pPr>
      <w:r>
        <w:rPr>
          <w:rFonts w:cs="Arial"/>
          <w:bCs/>
          <w:sz w:val="28"/>
          <w:szCs w:val="28"/>
          <w:lang w:val="sr-Cyrl-CS"/>
        </w:rPr>
        <w:t>BIBLIOTEKA</w:t>
      </w:r>
      <w:r w:rsidRPr="008105BE">
        <w:rPr>
          <w:rFonts w:cs="Arial"/>
          <w:bCs/>
          <w:sz w:val="28"/>
          <w:szCs w:val="28"/>
          <w:lang w:val="sr-Cyrl-CS"/>
        </w:rPr>
        <w:t xml:space="preserve"> </w:t>
      </w:r>
      <w:r>
        <w:rPr>
          <w:rFonts w:cs="Arial"/>
          <w:bCs/>
          <w:sz w:val="28"/>
          <w:szCs w:val="28"/>
          <w:lang w:val="sr-Cyrl-CS"/>
        </w:rPr>
        <w:t>NARODNE</w:t>
      </w:r>
      <w:r w:rsidRPr="008105BE">
        <w:rPr>
          <w:rFonts w:cs="Arial"/>
          <w:bCs/>
          <w:sz w:val="28"/>
          <w:szCs w:val="28"/>
          <w:lang w:val="sr-Cyrl-CS"/>
        </w:rPr>
        <w:t xml:space="preserve"> </w:t>
      </w:r>
      <w:r>
        <w:rPr>
          <w:rFonts w:cs="Arial"/>
          <w:bCs/>
          <w:sz w:val="28"/>
          <w:szCs w:val="28"/>
          <w:lang w:val="sr-Cyrl-CS"/>
        </w:rPr>
        <w:t>SKUPŠTINE</w:t>
      </w:r>
    </w:p>
    <w:p w:rsidR="00712D73" w:rsidRDefault="00712D73" w:rsidP="00712D73">
      <w:pPr>
        <w:tabs>
          <w:tab w:val="left" w:pos="567"/>
        </w:tabs>
        <w:rPr>
          <w:rFonts w:cs="Arial"/>
        </w:rPr>
      </w:pPr>
    </w:p>
    <w:p w:rsidR="00712D73" w:rsidRPr="00C9188A" w:rsidRDefault="00712D73" w:rsidP="00712D73">
      <w:pPr>
        <w:pStyle w:val="Heading1"/>
      </w:pPr>
    </w:p>
    <w:p w:rsidR="00712D73" w:rsidRPr="008105BE" w:rsidRDefault="00712D73" w:rsidP="00712D73">
      <w:pPr>
        <w:tabs>
          <w:tab w:val="left" w:pos="567"/>
        </w:tabs>
        <w:rPr>
          <w:rFonts w:cs="Arial"/>
        </w:rPr>
      </w:pPr>
    </w:p>
    <w:p w:rsidR="00712D73" w:rsidRPr="008105BE" w:rsidRDefault="00712D73" w:rsidP="00712D73">
      <w:pPr>
        <w:tabs>
          <w:tab w:val="left" w:pos="567"/>
        </w:tabs>
        <w:rPr>
          <w:rFonts w:cs="Arial"/>
        </w:rPr>
      </w:pPr>
    </w:p>
    <w:p w:rsidR="00712D73" w:rsidRPr="008105BE" w:rsidRDefault="00712D73" w:rsidP="00712D73">
      <w:pPr>
        <w:tabs>
          <w:tab w:val="left" w:pos="567"/>
        </w:tabs>
        <w:rPr>
          <w:rFonts w:cs="Arial"/>
        </w:rPr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  <w:r>
        <w:rPr>
          <w:rFonts w:cs="Arial"/>
          <w:b/>
          <w:sz w:val="28"/>
          <w:lang w:val="sr-Latn-CS"/>
        </w:rPr>
        <w:t>Tema</w:t>
      </w:r>
      <w:r w:rsidRPr="005B5B29">
        <w:rPr>
          <w:rFonts w:cs="Arial"/>
          <w:b/>
          <w:sz w:val="28"/>
          <w:lang w:val="sr-Latn-CS"/>
        </w:rPr>
        <w:t xml:space="preserve">: </w:t>
      </w:r>
      <w:r w:rsidRPr="005B5B29">
        <w:rPr>
          <w:rFonts w:cs="Arial"/>
          <w:b/>
          <w:sz w:val="28"/>
        </w:rPr>
        <w:t xml:space="preserve">       </w:t>
      </w:r>
      <w:r>
        <w:rPr>
          <w:rFonts w:cs="Arial"/>
          <w:b/>
          <w:sz w:val="28"/>
        </w:rPr>
        <w:t>POREKLO IMOVINE – načini regulisanja</w:t>
      </w:r>
    </w:p>
    <w:p w:rsidR="00712D73" w:rsidRPr="005B5B29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712D73" w:rsidRPr="005B5B29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  <w:lang w:val="ru-RU"/>
        </w:rPr>
      </w:pPr>
      <w:r>
        <w:rPr>
          <w:rFonts w:cs="Arial"/>
          <w:b/>
          <w:sz w:val="28"/>
          <w:lang w:val="sr-Latn-CS"/>
        </w:rPr>
        <w:t>Datum</w:t>
      </w:r>
      <w:r w:rsidRPr="005B5B29">
        <w:rPr>
          <w:rFonts w:cs="Arial"/>
          <w:b/>
          <w:sz w:val="28"/>
          <w:lang w:val="sr-Latn-CS"/>
        </w:rPr>
        <w:t>:</w:t>
      </w:r>
      <w:r w:rsidRPr="005B5B29">
        <w:rPr>
          <w:rFonts w:cs="Arial"/>
          <w:b/>
          <w:sz w:val="28"/>
        </w:rPr>
        <w:t xml:space="preserve">      </w:t>
      </w:r>
      <w:r>
        <w:rPr>
          <w:rFonts w:cs="Arial"/>
          <w:b/>
          <w:sz w:val="28"/>
        </w:rPr>
        <w:t>22.10.</w:t>
      </w:r>
      <w:r w:rsidRPr="005B5B29">
        <w:rPr>
          <w:rFonts w:cs="Arial"/>
          <w:b/>
          <w:sz w:val="28"/>
          <w:lang w:val="sr-Latn-CS"/>
        </w:rPr>
        <w:t>20</w:t>
      </w:r>
      <w:r w:rsidRPr="005B5B29">
        <w:rPr>
          <w:rFonts w:cs="Arial"/>
          <w:b/>
          <w:sz w:val="28"/>
        </w:rPr>
        <w:t>1</w:t>
      </w:r>
      <w:r>
        <w:rPr>
          <w:rFonts w:cs="Arial"/>
          <w:b/>
          <w:sz w:val="28"/>
          <w:lang w:val="ru-RU"/>
        </w:rPr>
        <w:t>5.</w:t>
      </w:r>
    </w:p>
    <w:p w:rsidR="00712D73" w:rsidRPr="005B5B29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</w:p>
    <w:p w:rsidR="00712D73" w:rsidRPr="00712D73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  <w:lang w:val="sr-Latn-CS"/>
        </w:rPr>
      </w:pPr>
      <w:r>
        <w:rPr>
          <w:rFonts w:cs="Arial"/>
          <w:b/>
          <w:sz w:val="28"/>
          <w:lang w:val="sr-Latn-CS"/>
        </w:rPr>
        <w:t>Br</w:t>
      </w:r>
      <w:r>
        <w:rPr>
          <w:rFonts w:cs="Arial"/>
          <w:b/>
          <w:sz w:val="28"/>
        </w:rPr>
        <w:t>oj</w:t>
      </w:r>
      <w:r>
        <w:rPr>
          <w:rFonts w:cs="Arial"/>
          <w:b/>
          <w:sz w:val="28"/>
          <w:lang w:val="sr-Latn-CS"/>
        </w:rPr>
        <w:t>:</w:t>
      </w:r>
      <w:r>
        <w:rPr>
          <w:rFonts w:cs="Arial"/>
          <w:b/>
          <w:sz w:val="28"/>
          <w:lang w:val="sr-Latn-CS"/>
        </w:rPr>
        <w:tab/>
        <w:t xml:space="preserve">       </w:t>
      </w:r>
      <w:r>
        <w:rPr>
          <w:rFonts w:cs="Arial"/>
          <w:b/>
          <w:sz w:val="28"/>
        </w:rPr>
        <w:t xml:space="preserve">  </w:t>
      </w:r>
      <w:r w:rsidRPr="00712D73">
        <w:rPr>
          <w:rFonts w:cs="Arial"/>
          <w:b/>
          <w:sz w:val="28"/>
          <w:lang w:val="sr-Latn-CS"/>
        </w:rPr>
        <w:t>07/2015</w:t>
      </w:r>
    </w:p>
    <w:p w:rsidR="00712D73" w:rsidRPr="005B5B29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  <w:lang w:val="sr-Latn-RS"/>
        </w:rPr>
      </w:pPr>
    </w:p>
    <w:p w:rsidR="00712D73" w:rsidRPr="005B5B29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</w:p>
    <w:p w:rsidR="00712D73" w:rsidRPr="005B5B29" w:rsidRDefault="00712D73" w:rsidP="00712D73">
      <w:pPr>
        <w:tabs>
          <w:tab w:val="left" w:pos="567"/>
        </w:tabs>
        <w:spacing w:line="240" w:lineRule="auto"/>
        <w:rPr>
          <w:rFonts w:cs="Arial"/>
          <w:b/>
          <w:sz w:val="28"/>
        </w:rPr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Pr="00C9188A" w:rsidRDefault="00712D73" w:rsidP="00712D73">
      <w:pPr>
        <w:pStyle w:val="Heading1"/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Pr="005B5B29" w:rsidRDefault="00712D73" w:rsidP="00712D73">
      <w:pPr>
        <w:spacing w:line="240" w:lineRule="auto"/>
        <w:rPr>
          <w:rFonts w:cs="Arial"/>
          <w:b/>
          <w:sz w:val="28"/>
        </w:rPr>
      </w:pPr>
    </w:p>
    <w:p w:rsidR="00712D73" w:rsidRPr="00C9188A" w:rsidRDefault="00712D73" w:rsidP="00712D73">
      <w:pPr>
        <w:spacing w:line="240" w:lineRule="auto"/>
        <w:rPr>
          <w:rFonts w:cs="Arial"/>
          <w:b/>
          <w:sz w:val="24"/>
          <w:szCs w:val="24"/>
          <w:lang w:val="hr-BA"/>
        </w:rPr>
      </w:pPr>
      <w:bookmarkStart w:id="0" w:name="_Toc196037342"/>
      <w:bookmarkEnd w:id="0"/>
      <w:r>
        <w:rPr>
          <w:rFonts w:cs="Arial"/>
          <w:b/>
          <w:sz w:val="24"/>
          <w:szCs w:val="24"/>
          <w:lang w:val="ru-RU"/>
        </w:rPr>
        <w:t>Ovo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istraživanje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je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uradila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Biblioteka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Narodne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skupštine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za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potrebe</w:t>
      </w:r>
      <w:r w:rsidRPr="00C9188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</w:rPr>
        <w:t>rada</w:t>
      </w:r>
      <w:r w:rsidRPr="00C9188A">
        <w:rPr>
          <w:rFonts w:cs="Arial"/>
          <w:b/>
          <w:sz w:val="24"/>
          <w:szCs w:val="24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narodnih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poslanika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Službe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Narodne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skupštine</w:t>
      </w:r>
      <w:r w:rsidRPr="00C9188A">
        <w:rPr>
          <w:rFonts w:cs="Arial"/>
          <w:b/>
          <w:sz w:val="24"/>
          <w:szCs w:val="24"/>
          <w:lang w:val="ru-RU"/>
        </w:rPr>
        <w:t xml:space="preserve">. </w:t>
      </w:r>
      <w:r>
        <w:rPr>
          <w:rFonts w:cs="Arial"/>
          <w:b/>
          <w:sz w:val="24"/>
          <w:szCs w:val="24"/>
          <w:lang w:val="ru-RU"/>
        </w:rPr>
        <w:t>Za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više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informacija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molimo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da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nas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kontaktirate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putem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telefona</w:t>
      </w:r>
      <w:r w:rsidRPr="00C9188A">
        <w:rPr>
          <w:rFonts w:cs="Arial"/>
          <w:b/>
          <w:sz w:val="24"/>
          <w:szCs w:val="24"/>
          <w:lang w:val="ru-RU"/>
        </w:rPr>
        <w:t xml:space="preserve"> 3026-532 </w:t>
      </w:r>
      <w:r>
        <w:rPr>
          <w:rFonts w:cs="Arial"/>
          <w:b/>
          <w:sz w:val="24"/>
          <w:szCs w:val="24"/>
          <w:lang w:val="ru-RU"/>
        </w:rPr>
        <w:t>i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elektronske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hr-BA"/>
        </w:rPr>
        <w:t>pošte</w:t>
      </w:r>
      <w:r w:rsidRPr="00C9188A">
        <w:rPr>
          <w:rFonts w:cs="Arial"/>
          <w:b/>
          <w:sz w:val="24"/>
          <w:szCs w:val="24"/>
          <w:lang w:val="hr-BA"/>
        </w:rPr>
        <w:t xml:space="preserve"> </w:t>
      </w:r>
      <w:hyperlink r:id="rId9" w:history="1">
        <w:r w:rsidRPr="00C9188A">
          <w:rPr>
            <w:rStyle w:val="Hyperlink"/>
            <w:rFonts w:cs="Arial"/>
            <w:b/>
            <w:i/>
            <w:sz w:val="24"/>
            <w:szCs w:val="24"/>
            <w:lang w:val="hr-BA"/>
          </w:rPr>
          <w:t>istrazivanja@parlament.rs</w:t>
        </w:r>
        <w:r w:rsidRPr="00C9188A">
          <w:rPr>
            <w:rStyle w:val="Hyperlink"/>
            <w:rFonts w:cs="Arial"/>
            <w:b/>
            <w:sz w:val="24"/>
            <w:szCs w:val="24"/>
            <w:lang w:val="hr-BA"/>
          </w:rPr>
          <w:t>.</w:t>
        </w:r>
      </w:hyperlink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Istraživanja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koj</w:t>
      </w:r>
      <w:r w:rsidRPr="00C9188A">
        <w:rPr>
          <w:rFonts w:cs="Arial"/>
          <w:b/>
          <w:sz w:val="24"/>
          <w:szCs w:val="24"/>
        </w:rPr>
        <w:t>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priprema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Biblioteka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Narodne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skupštine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ne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odražavaju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zvanični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stav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Narodne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skupštine</w:t>
      </w:r>
      <w:r w:rsidRPr="00C9188A">
        <w:rPr>
          <w:rFonts w:cs="Arial"/>
          <w:b/>
          <w:spacing w:val="-4"/>
          <w:sz w:val="24"/>
          <w:szCs w:val="24"/>
          <w:lang w:val="ru-RU"/>
        </w:rPr>
        <w:t xml:space="preserve"> </w:t>
      </w:r>
      <w:r>
        <w:rPr>
          <w:rFonts w:cs="Arial"/>
          <w:b/>
          <w:spacing w:val="-4"/>
          <w:sz w:val="24"/>
          <w:szCs w:val="24"/>
          <w:lang w:val="ru-RU"/>
        </w:rPr>
        <w:t>Republike</w:t>
      </w:r>
      <w:r w:rsidRPr="00C9188A">
        <w:rPr>
          <w:rFonts w:cs="Arial"/>
          <w:b/>
          <w:sz w:val="24"/>
          <w:szCs w:val="24"/>
          <w:lang w:val="ru-RU"/>
        </w:rPr>
        <w:t xml:space="preserve"> </w:t>
      </w:r>
      <w:r>
        <w:rPr>
          <w:rFonts w:cs="Arial"/>
          <w:b/>
          <w:sz w:val="24"/>
          <w:szCs w:val="24"/>
          <w:lang w:val="ru-RU"/>
        </w:rPr>
        <w:t>Srbije</w:t>
      </w:r>
      <w:r w:rsidRPr="00C9188A">
        <w:rPr>
          <w:rFonts w:cs="Arial"/>
          <w:b/>
          <w:sz w:val="24"/>
          <w:szCs w:val="24"/>
          <w:lang w:val="ru-RU"/>
        </w:rPr>
        <w:t xml:space="preserve">. </w:t>
      </w:r>
    </w:p>
    <w:p w:rsidR="00712D73" w:rsidRPr="00C9188A" w:rsidRDefault="00712D73" w:rsidP="00712D73">
      <w:pPr>
        <w:jc w:val="center"/>
        <w:rPr>
          <w:rFonts w:cs="Arial"/>
          <w:sz w:val="24"/>
          <w:szCs w:val="24"/>
          <w:lang w:val="sr-Latn-RS"/>
        </w:rPr>
      </w:pPr>
    </w:p>
    <w:p w:rsidR="00712D73" w:rsidRDefault="00712D73" w:rsidP="00712D73">
      <w:pPr>
        <w:jc w:val="center"/>
        <w:rPr>
          <w:rFonts w:cs="Arial"/>
          <w:szCs w:val="20"/>
          <w:lang w:val="sr-Latn-RS"/>
        </w:rPr>
      </w:pPr>
    </w:p>
    <w:p w:rsidR="00712D73" w:rsidRDefault="00712D73" w:rsidP="00712D73">
      <w:pPr>
        <w:rPr>
          <w:rFonts w:cs="Arial"/>
          <w:szCs w:val="20"/>
        </w:rPr>
      </w:pPr>
    </w:p>
    <w:p w:rsidR="00712D73" w:rsidRDefault="00712D73" w:rsidP="00712D73"/>
    <w:p w:rsidR="00712D73" w:rsidRDefault="00712D73" w:rsidP="00712D73"/>
    <w:sdt>
      <w:sdtPr>
        <w:rPr>
          <w:rFonts w:ascii="Arial" w:eastAsia="MS Mincho" w:hAnsi="Arial" w:cs="Times New Roman"/>
          <w:b w:val="0"/>
          <w:iCs/>
          <w:color w:val="auto"/>
          <w:sz w:val="20"/>
          <w:lang w:val="sr-Cyrl-RS"/>
        </w:rPr>
        <w:id w:val="-633011396"/>
        <w:docPartObj>
          <w:docPartGallery w:val="Table of Contents"/>
          <w:docPartUnique/>
        </w:docPartObj>
      </w:sdtPr>
      <w:sdtEndPr>
        <w:rPr>
          <w:noProof/>
        </w:rPr>
      </w:sdtEndPr>
      <w:sdtContent>
        <w:p w:rsidR="00712D73" w:rsidRPr="00F81514" w:rsidRDefault="00712D73" w:rsidP="00712D73">
          <w:pPr>
            <w:pStyle w:val="TOCHeading"/>
            <w:jc w:val="center"/>
            <w:outlineLvl w:val="0"/>
            <w:rPr>
              <w:rFonts w:ascii="Arial" w:hAnsi="Arial" w:cs="Arial"/>
              <w:b w:val="0"/>
              <w:color w:val="auto"/>
              <w:sz w:val="24"/>
              <w:szCs w:val="24"/>
            </w:rPr>
          </w:pPr>
          <w:r>
            <w:rPr>
              <w:rFonts w:ascii="Arial" w:hAnsi="Arial" w:cs="Arial"/>
              <w:b w:val="0"/>
              <w:color w:val="auto"/>
              <w:sz w:val="24"/>
              <w:szCs w:val="24"/>
            </w:rPr>
            <w:t>SADRŽAJ</w:t>
          </w:r>
        </w:p>
        <w:p w:rsidR="00712D73" w:rsidRPr="003D382B" w:rsidRDefault="00712D73" w:rsidP="00712D73"/>
        <w:p w:rsidR="00712D73" w:rsidRDefault="00712D73" w:rsidP="00712D73">
          <w:pPr>
            <w:pStyle w:val="TOC1"/>
            <w:tabs>
              <w:tab w:val="right" w:leader="dot" w:pos="8630"/>
            </w:tabs>
            <w:rPr>
              <w:rStyle w:val="Hyperlink"/>
              <w:noProof/>
            </w:rPr>
          </w:pPr>
          <w:r w:rsidRPr="003D382B">
            <w:rPr>
              <w:sz w:val="24"/>
            </w:rPr>
            <w:fldChar w:fldCharType="begin"/>
          </w:r>
          <w:r w:rsidRPr="003D382B">
            <w:instrText xml:space="preserve"> TOC \o "1-3" \h \z \u </w:instrText>
          </w:r>
          <w:r w:rsidRPr="003D382B">
            <w:rPr>
              <w:sz w:val="24"/>
            </w:rPr>
            <w:fldChar w:fldCharType="separate"/>
          </w:r>
          <w:hyperlink w:anchor="_Toc433287263" w:history="1">
            <w:r>
              <w:rPr>
                <w:rStyle w:val="Hyperlink"/>
                <w:noProof/>
              </w:rPr>
              <w:t>UVOD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_Toc433287263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12D73" w:rsidRPr="003D382B" w:rsidRDefault="00712D73" w:rsidP="00712D73">
          <w:pPr>
            <w:rPr>
              <w:noProof/>
            </w:rPr>
          </w:pPr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64" w:history="1">
            <w:r w:rsidR="00712D73">
              <w:rPr>
                <w:rStyle w:val="Hyperlink"/>
                <w:noProof/>
              </w:rPr>
              <w:t>Grčka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_Toc433287264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4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65" w:history="1">
            <w:r w:rsidR="00712D73">
              <w:rPr>
                <w:rStyle w:val="Hyperlink"/>
                <w:noProof/>
              </w:rPr>
              <w:t>Estonija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_Toc433287265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4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66" w:history="1">
            <w:r w:rsidR="00712D73">
              <w:rPr>
                <w:rStyle w:val="Hyperlink"/>
                <w:noProof/>
              </w:rPr>
              <w:t>Kipar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_Toc433287266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5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67" w:history="1">
            <w:r w:rsidR="00712D73">
              <w:rPr>
                <w:rStyle w:val="Hyperlink"/>
                <w:noProof/>
              </w:rPr>
              <w:t>Letonija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_Toc433287267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6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68" w:history="1">
            <w:r w:rsidR="00712D73">
              <w:rPr>
                <w:rStyle w:val="Hyperlink"/>
                <w:noProof/>
              </w:rPr>
              <w:t>Poljska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_Toc433287268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6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69" w:history="1">
            <w:r w:rsidR="00712D73">
              <w:rPr>
                <w:rStyle w:val="Hyperlink"/>
                <w:noProof/>
              </w:rPr>
              <w:t>Slovačka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_Toc433287269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7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Style w:val="Hyperlink"/>
              <w:noProof/>
            </w:rPr>
          </w:pPr>
          <w:hyperlink w:anchor="_Toc433287270" w:history="1">
            <w:r w:rsidR="00712D73">
              <w:rPr>
                <w:rStyle w:val="Hyperlink"/>
                <w:noProof/>
              </w:rPr>
              <w:t>Hrvatska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_Toc433287270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7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Pr="003D382B" w:rsidRDefault="00712D73" w:rsidP="00712D73">
          <w:pPr>
            <w:rPr>
              <w:noProof/>
            </w:rPr>
          </w:pPr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Style w:val="Hyperlink"/>
              <w:noProof/>
            </w:rPr>
          </w:pPr>
          <w:hyperlink w:anchor="_Toc433287271" w:history="1">
            <w:r w:rsidR="00712D73">
              <w:rPr>
                <w:rStyle w:val="Hyperlink"/>
                <w:noProof/>
              </w:rPr>
              <w:t>Zaključak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_Toc433287271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8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Pr="003D382B" w:rsidRDefault="00712D73" w:rsidP="00712D73">
          <w:pPr>
            <w:rPr>
              <w:noProof/>
            </w:rPr>
          </w:pPr>
        </w:p>
        <w:p w:rsidR="00712D73" w:rsidRDefault="00244693" w:rsidP="00712D73">
          <w:pPr>
            <w:pStyle w:val="TOC1"/>
            <w:tabs>
              <w:tab w:val="right" w:leader="dot" w:pos="8630"/>
            </w:tabs>
            <w:rPr>
              <w:rFonts w:asciiTheme="minorHAnsi" w:eastAsiaTheme="minorEastAsia" w:hAnsiTheme="minorHAnsi" w:cstheme="minorBidi"/>
              <w:bCs w:val="0"/>
              <w:i w:val="0"/>
              <w:iCs w:val="0"/>
              <w:noProof/>
              <w:szCs w:val="22"/>
              <w:lang w:val="en-US" w:eastAsia="en-US"/>
            </w:rPr>
          </w:pPr>
          <w:hyperlink w:anchor="_Toc433287272" w:history="1">
            <w:r w:rsidR="00712D73">
              <w:rPr>
                <w:rStyle w:val="Hyperlink"/>
                <w:noProof/>
              </w:rPr>
              <w:t>Izvori informacija</w:t>
            </w:r>
            <w:r w:rsidR="00712D73">
              <w:rPr>
                <w:noProof/>
                <w:webHidden/>
              </w:rPr>
              <w:tab/>
            </w:r>
            <w:r w:rsidR="00712D73">
              <w:rPr>
                <w:noProof/>
                <w:webHidden/>
              </w:rPr>
              <w:fldChar w:fldCharType="begin"/>
            </w:r>
            <w:r w:rsidR="00712D73">
              <w:rPr>
                <w:noProof/>
                <w:webHidden/>
              </w:rPr>
              <w:instrText xml:space="preserve"> PAGEREF _Toc433287272 \h </w:instrText>
            </w:r>
            <w:r w:rsidR="00712D73">
              <w:rPr>
                <w:noProof/>
                <w:webHidden/>
              </w:rPr>
            </w:r>
            <w:r w:rsidR="00712D73">
              <w:rPr>
                <w:noProof/>
                <w:webHidden/>
              </w:rPr>
              <w:fldChar w:fldCharType="separate"/>
            </w:r>
            <w:r w:rsidR="00712D73">
              <w:rPr>
                <w:noProof/>
                <w:webHidden/>
              </w:rPr>
              <w:t>8</w:t>
            </w:r>
            <w:r w:rsidR="00712D73">
              <w:rPr>
                <w:noProof/>
                <w:webHidden/>
              </w:rPr>
              <w:fldChar w:fldCharType="end"/>
            </w:r>
          </w:hyperlink>
        </w:p>
        <w:p w:rsidR="00712D73" w:rsidRDefault="00712D73" w:rsidP="00712D73">
          <w:r w:rsidRPr="003D382B">
            <w:rPr>
              <w:b/>
              <w:noProof/>
            </w:rPr>
            <w:fldChar w:fldCharType="end"/>
          </w:r>
        </w:p>
      </w:sdtContent>
    </w:sdt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Default="00712D73" w:rsidP="00712D73"/>
    <w:p w:rsidR="00712D73" w:rsidRPr="00BD1167" w:rsidRDefault="00712D73" w:rsidP="00712D73">
      <w:pPr>
        <w:pStyle w:val="Heading1"/>
      </w:pPr>
      <w:bookmarkStart w:id="1" w:name="_Toc433287263"/>
      <w:r>
        <w:lastRenderedPageBreak/>
        <w:t>UVOD</w:t>
      </w:r>
      <w:bookmarkEnd w:id="1"/>
    </w:p>
    <w:p w:rsidR="00712D73" w:rsidRPr="00F76140" w:rsidRDefault="00712D73" w:rsidP="00712D73"/>
    <w:p w:rsidR="00712D73" w:rsidRDefault="00712D73" w:rsidP="00712D73">
      <w:r>
        <w:t>Ispitivanje</w:t>
      </w:r>
      <w:r w:rsidRPr="00A41208">
        <w:t xml:space="preserve"> </w:t>
      </w:r>
      <w:r>
        <w:t>porekla imovine, prema podacima Evropskog centra za parlamentarna istraživanja i dokumentaciju,</w:t>
      </w:r>
      <w:r w:rsidRPr="0039539F">
        <w:t xml:space="preserve"> </w:t>
      </w:r>
      <w:r>
        <w:t>u najvećem broju zemalja obuhvaćenih istraživanjem regulisano je na različite načine, odnosno pojedini pravni sistemi su ovo pitanje uredili sa nekoliko zakona dok su drugi to uradili posebnim zakonom. U istraživanju sprovedenom 2013. godine, koje je inicirao Parlament Češke Republike učestvovalo je 17 država čije su parlamentarne istraživačke službe odgovarale na sledeći upitnik:</w:t>
      </w:r>
    </w:p>
    <w:p w:rsidR="00712D73" w:rsidRPr="00B93DF6" w:rsidRDefault="00712D73" w:rsidP="00712D73">
      <w:pPr>
        <w:numPr>
          <w:ilvl w:val="0"/>
          <w:numId w:val="3"/>
        </w:numPr>
      </w:pPr>
      <w:r>
        <w:t>Da</w:t>
      </w:r>
      <w:r w:rsidRPr="00B93DF6">
        <w:t xml:space="preserve"> </w:t>
      </w:r>
      <w:r>
        <w:t>li</w:t>
      </w:r>
      <w:r w:rsidRPr="00B93DF6">
        <w:t xml:space="preserve"> </w:t>
      </w:r>
      <w:r>
        <w:t>je</w:t>
      </w:r>
      <w:r w:rsidRPr="00B93DF6">
        <w:t xml:space="preserve"> </w:t>
      </w:r>
      <w:r>
        <w:t>u</w:t>
      </w:r>
      <w:r w:rsidRPr="00B93DF6">
        <w:t xml:space="preserve"> </w:t>
      </w:r>
      <w:r>
        <w:t>vašoj</w:t>
      </w:r>
      <w:r w:rsidRPr="00B93DF6">
        <w:t xml:space="preserve"> </w:t>
      </w:r>
      <w:r>
        <w:t>zemlji</w:t>
      </w:r>
      <w:r w:rsidRPr="00B93DF6">
        <w:t xml:space="preserve"> </w:t>
      </w:r>
      <w:r>
        <w:t>regulisano</w:t>
      </w:r>
      <w:r w:rsidRPr="00B93DF6">
        <w:t xml:space="preserve"> </w:t>
      </w:r>
      <w:r>
        <w:t>pitanje</w:t>
      </w:r>
      <w:r w:rsidRPr="00B93DF6">
        <w:t xml:space="preserve"> </w:t>
      </w:r>
      <w:r>
        <w:t>dokazivanja</w:t>
      </w:r>
      <w:r w:rsidRPr="00B93DF6">
        <w:t xml:space="preserve"> </w:t>
      </w:r>
      <w:r>
        <w:t>porekla</w:t>
      </w:r>
      <w:r w:rsidRPr="00B93DF6">
        <w:t xml:space="preserve"> </w:t>
      </w:r>
      <w:r>
        <w:t>imovine</w:t>
      </w:r>
      <w:r w:rsidRPr="00B93DF6">
        <w:t xml:space="preserve"> </w:t>
      </w:r>
      <w:r>
        <w:t>koju</w:t>
      </w:r>
      <w:r w:rsidRPr="00B93DF6">
        <w:t xml:space="preserve"> </w:t>
      </w:r>
      <w:r>
        <w:t>su</w:t>
      </w:r>
      <w:r w:rsidRPr="00B93DF6">
        <w:t xml:space="preserve"> </w:t>
      </w:r>
      <w:r>
        <w:t>stekla</w:t>
      </w:r>
      <w:r w:rsidRPr="00B93DF6">
        <w:t xml:space="preserve"> </w:t>
      </w:r>
      <w:r>
        <w:t>fizička</w:t>
      </w:r>
      <w:r w:rsidRPr="00B93DF6">
        <w:t xml:space="preserve"> </w:t>
      </w:r>
      <w:r>
        <w:t>ili</w:t>
      </w:r>
      <w:r w:rsidRPr="00B93DF6">
        <w:t xml:space="preserve"> </w:t>
      </w:r>
      <w:r>
        <w:t>pravna</w:t>
      </w:r>
      <w:r w:rsidRPr="00B93DF6">
        <w:t xml:space="preserve"> </w:t>
      </w:r>
      <w:r>
        <w:t>lica</w:t>
      </w:r>
      <w:r w:rsidRPr="00B93DF6">
        <w:t>?</w:t>
      </w:r>
    </w:p>
    <w:p w:rsidR="00712D73" w:rsidRPr="00B93DF6" w:rsidRDefault="00712D73" w:rsidP="00712D73">
      <w:pPr>
        <w:numPr>
          <w:ilvl w:val="0"/>
          <w:numId w:val="3"/>
        </w:numPr>
      </w:pPr>
      <w:r>
        <w:t>Ako</w:t>
      </w:r>
      <w:r w:rsidRPr="00B93DF6">
        <w:t xml:space="preserve"> </w:t>
      </w:r>
      <w:r>
        <w:t>jeste</w:t>
      </w:r>
      <w:r w:rsidRPr="00B93DF6">
        <w:t>:</w:t>
      </w:r>
    </w:p>
    <w:p w:rsidR="00712D73" w:rsidRPr="00B93DF6" w:rsidRDefault="00712D73" w:rsidP="00712D73">
      <w:pPr>
        <w:numPr>
          <w:ilvl w:val="1"/>
          <w:numId w:val="7"/>
        </w:numPr>
      </w:pPr>
      <w:r>
        <w:t>Kojim</w:t>
      </w:r>
      <w:r w:rsidRPr="00B93DF6">
        <w:t xml:space="preserve"> </w:t>
      </w:r>
      <w:r>
        <w:t>aktom</w:t>
      </w:r>
      <w:r w:rsidRPr="00B93DF6">
        <w:t>?</w:t>
      </w:r>
    </w:p>
    <w:p w:rsidR="00712D73" w:rsidRPr="00B93DF6" w:rsidRDefault="00712D73" w:rsidP="00712D73">
      <w:pPr>
        <w:numPr>
          <w:ilvl w:val="1"/>
          <w:numId w:val="7"/>
        </w:numPr>
      </w:pPr>
      <w:r>
        <w:t>Koja</w:t>
      </w:r>
      <w:r w:rsidRPr="00B93DF6">
        <w:t xml:space="preserve"> </w:t>
      </w:r>
      <w:r>
        <w:t>imovina</w:t>
      </w:r>
      <w:r w:rsidRPr="00B93DF6">
        <w:t xml:space="preserve"> </w:t>
      </w:r>
      <w:r>
        <w:t>je</w:t>
      </w:r>
      <w:r w:rsidRPr="00B93DF6">
        <w:t xml:space="preserve"> </w:t>
      </w:r>
      <w:r>
        <w:t>predmet</w:t>
      </w:r>
      <w:r w:rsidRPr="00B93DF6">
        <w:t xml:space="preserve"> </w:t>
      </w:r>
      <w:r>
        <w:t>dokazivanja</w:t>
      </w:r>
      <w:r w:rsidRPr="00B93DF6">
        <w:t xml:space="preserve"> </w:t>
      </w:r>
      <w:r>
        <w:t>zakonitosti</w:t>
      </w:r>
      <w:r w:rsidRPr="00B93DF6">
        <w:t xml:space="preserve"> </w:t>
      </w:r>
      <w:r>
        <w:t>finansijskih</w:t>
      </w:r>
      <w:r w:rsidRPr="00B93DF6">
        <w:t xml:space="preserve"> </w:t>
      </w:r>
      <w:r>
        <w:t>ili</w:t>
      </w:r>
      <w:r w:rsidRPr="00B93DF6">
        <w:t xml:space="preserve"> </w:t>
      </w:r>
      <w:r>
        <w:t>drugih</w:t>
      </w:r>
      <w:r w:rsidRPr="00B93DF6">
        <w:t xml:space="preserve"> </w:t>
      </w:r>
      <w:r>
        <w:t>sredstava potrebnih za njeno sticanje</w:t>
      </w:r>
      <w:r w:rsidRPr="00B93DF6">
        <w:t>?</w:t>
      </w:r>
    </w:p>
    <w:p w:rsidR="00712D73" w:rsidRPr="00B93DF6" w:rsidRDefault="00712D73" w:rsidP="00712D73">
      <w:pPr>
        <w:numPr>
          <w:ilvl w:val="1"/>
          <w:numId w:val="7"/>
        </w:numPr>
      </w:pPr>
      <w:r>
        <w:t>Kako</w:t>
      </w:r>
      <w:r w:rsidRPr="00B93DF6">
        <w:t xml:space="preserve"> </w:t>
      </w:r>
      <w:r>
        <w:t>se</w:t>
      </w:r>
      <w:r w:rsidRPr="00B93DF6">
        <w:t xml:space="preserve"> </w:t>
      </w:r>
      <w:r>
        <w:t>dokazuje</w:t>
      </w:r>
      <w:r w:rsidRPr="00B93DF6">
        <w:t xml:space="preserve"> </w:t>
      </w:r>
      <w:r>
        <w:t>poreklo</w:t>
      </w:r>
      <w:r w:rsidRPr="00B93DF6">
        <w:t xml:space="preserve"> </w:t>
      </w:r>
      <w:r>
        <w:t>ovih</w:t>
      </w:r>
      <w:r w:rsidRPr="00B93DF6">
        <w:t xml:space="preserve"> </w:t>
      </w:r>
      <w:r>
        <w:t>sredstava</w:t>
      </w:r>
      <w:r w:rsidRPr="00B93DF6">
        <w:t>?</w:t>
      </w:r>
    </w:p>
    <w:p w:rsidR="00712D73" w:rsidRPr="00B93DF6" w:rsidRDefault="00712D73" w:rsidP="00712D73">
      <w:pPr>
        <w:numPr>
          <w:ilvl w:val="1"/>
          <w:numId w:val="7"/>
        </w:numPr>
      </w:pPr>
      <w:r>
        <w:t>Koji</w:t>
      </w:r>
      <w:r w:rsidRPr="00B93DF6">
        <w:t xml:space="preserve"> </w:t>
      </w:r>
      <w:r>
        <w:t>organi</w:t>
      </w:r>
      <w:r w:rsidRPr="00B93DF6">
        <w:t xml:space="preserve"> </w:t>
      </w:r>
      <w:r>
        <w:t>su ovlašćeni da sprovedu proveru</w:t>
      </w:r>
      <w:r w:rsidRPr="00B93DF6">
        <w:t xml:space="preserve"> </w:t>
      </w:r>
      <w:r>
        <w:t>porekla</w:t>
      </w:r>
      <w:r w:rsidRPr="00B93DF6">
        <w:t xml:space="preserve"> </w:t>
      </w:r>
      <w:r>
        <w:t>imovine</w:t>
      </w:r>
      <w:r w:rsidRPr="00B93DF6">
        <w:t>?</w:t>
      </w:r>
    </w:p>
    <w:p w:rsidR="00712D73" w:rsidRPr="00B93DF6" w:rsidRDefault="00712D73" w:rsidP="00712D73">
      <w:pPr>
        <w:numPr>
          <w:ilvl w:val="1"/>
          <w:numId w:val="7"/>
        </w:numPr>
      </w:pPr>
      <w:r>
        <w:t>Koje</w:t>
      </w:r>
      <w:r w:rsidRPr="00B93DF6">
        <w:t xml:space="preserve"> </w:t>
      </w:r>
      <w:r>
        <w:t>su</w:t>
      </w:r>
      <w:r w:rsidRPr="00B93DF6">
        <w:t xml:space="preserve"> </w:t>
      </w:r>
      <w:r>
        <w:t>vrste</w:t>
      </w:r>
      <w:r w:rsidRPr="00B93DF6">
        <w:t xml:space="preserve"> </w:t>
      </w:r>
      <w:r>
        <w:t>sankcije</w:t>
      </w:r>
      <w:r w:rsidRPr="00B93DF6">
        <w:t xml:space="preserve"> </w:t>
      </w:r>
      <w:r>
        <w:t>predviđene</w:t>
      </w:r>
      <w:r w:rsidRPr="00B93DF6">
        <w:t xml:space="preserve"> </w:t>
      </w:r>
      <w:r>
        <w:t>za</w:t>
      </w:r>
      <w:r w:rsidRPr="00B93DF6">
        <w:t xml:space="preserve"> </w:t>
      </w:r>
      <w:r>
        <w:t>nedokazivanje</w:t>
      </w:r>
      <w:r w:rsidRPr="00B93DF6">
        <w:t xml:space="preserve"> </w:t>
      </w:r>
      <w:r>
        <w:t>porekla</w:t>
      </w:r>
      <w:r w:rsidRPr="00B93DF6">
        <w:t xml:space="preserve"> </w:t>
      </w:r>
      <w:r>
        <w:t>imovine</w:t>
      </w:r>
      <w:r w:rsidRPr="00B93DF6">
        <w:t>?</w:t>
      </w:r>
    </w:p>
    <w:p w:rsidR="00712D73" w:rsidRPr="00B93DF6" w:rsidRDefault="00712D73" w:rsidP="00712D73">
      <w:pPr>
        <w:ind w:firstLine="426"/>
      </w:pPr>
      <w:r w:rsidRPr="00B93DF6">
        <w:t xml:space="preserve">3) </w:t>
      </w:r>
      <w:r>
        <w:t>Ako</w:t>
      </w:r>
      <w:r w:rsidRPr="00B93DF6">
        <w:t xml:space="preserve"> </w:t>
      </w:r>
      <w:r>
        <w:t>nije</w:t>
      </w:r>
      <w:r w:rsidRPr="00B93DF6">
        <w:t>:</w:t>
      </w:r>
    </w:p>
    <w:p w:rsidR="00712D73" w:rsidRPr="00B93DF6" w:rsidRDefault="00712D73" w:rsidP="00712D73">
      <w:pPr>
        <w:pStyle w:val="ListParagraph"/>
        <w:numPr>
          <w:ilvl w:val="0"/>
          <w:numId w:val="4"/>
        </w:numPr>
        <w:ind w:left="1418" w:hanging="284"/>
      </w:pPr>
      <w:r>
        <w:t>Da</w:t>
      </w:r>
      <w:r w:rsidRPr="00B93DF6">
        <w:t xml:space="preserve"> </w:t>
      </w:r>
      <w:r>
        <w:t>li</w:t>
      </w:r>
      <w:r w:rsidRPr="00B93DF6">
        <w:t xml:space="preserve"> </w:t>
      </w:r>
      <w:r>
        <w:t>postoji</w:t>
      </w:r>
      <w:r w:rsidRPr="00B93DF6">
        <w:t xml:space="preserve"> </w:t>
      </w:r>
      <w:r>
        <w:t>inicijativa</w:t>
      </w:r>
      <w:r w:rsidRPr="00B93DF6">
        <w:t xml:space="preserve"> </w:t>
      </w:r>
      <w:r>
        <w:t>za</w:t>
      </w:r>
      <w:r w:rsidRPr="00B93DF6">
        <w:t xml:space="preserve"> </w:t>
      </w:r>
      <w:r>
        <w:t>donošenje akta</w:t>
      </w:r>
      <w:r w:rsidRPr="00B93DF6">
        <w:t xml:space="preserve"> </w:t>
      </w:r>
      <w:r>
        <w:t>kojim</w:t>
      </w:r>
      <w:r w:rsidRPr="00B93DF6">
        <w:t xml:space="preserve"> </w:t>
      </w:r>
      <w:r>
        <w:t>bi</w:t>
      </w:r>
      <w:r w:rsidRPr="00B93DF6">
        <w:t xml:space="preserve"> </w:t>
      </w:r>
      <w:r>
        <w:t>se</w:t>
      </w:r>
      <w:r w:rsidRPr="00B93DF6">
        <w:t xml:space="preserve"> </w:t>
      </w:r>
      <w:r>
        <w:t>regulisalo</w:t>
      </w:r>
      <w:r w:rsidRPr="00B93DF6">
        <w:t xml:space="preserve"> </w:t>
      </w:r>
      <w:r>
        <w:t>poreklo</w:t>
      </w:r>
      <w:r w:rsidRPr="00B93DF6">
        <w:t xml:space="preserve"> </w:t>
      </w:r>
      <w:r>
        <w:t>imovine</w:t>
      </w:r>
      <w:r w:rsidRPr="00B93DF6">
        <w:t xml:space="preserve">?  </w:t>
      </w:r>
    </w:p>
    <w:p w:rsidR="00712D73" w:rsidRDefault="00712D73" w:rsidP="00712D73"/>
    <w:p w:rsidR="00712D73" w:rsidRDefault="00712D73" w:rsidP="00712D73">
      <w:r>
        <w:t>Na osnovu dobijenih odgovora, poreklo imovine uređeno je ili zakonima koji se ovim pitanjem indirektno bave u okviru šireg konteksta (Austrija, Italija, Nemačka, Francuska, Holandija, Mađarska, Rumunija, Rusija, Španija, Švedska ) ili kroz oblast poreskog sistem i/ili sistema sprečavanja pranja novca i borbe protiv terorizma (Grčka, Estonija, Kipar, Letonija, Poljska, Hrvatska). Izuzetak predstavlja Slovačka koje je donela Zakon o poreklu imovine i to one za koju sud utvrdi da je proistekla iz krivičnog dela.</w:t>
      </w:r>
    </w:p>
    <w:p w:rsidR="00712D73" w:rsidRDefault="00712D73" w:rsidP="00712D73"/>
    <w:p w:rsidR="00712D73" w:rsidRDefault="00712D73" w:rsidP="00712D73">
      <w:r>
        <w:t xml:space="preserve">Primera radi, u Austriji i Italiji se poreklo imovine ispituje u kontekstu oduzimanja imovine proistekle iz krivičnog dela, dok se u Nemačkoj, Francuskoj i Holandiji poreklo imovine dovodi u vezu sa pravom vlasništva odnosno posedovanja. Slično rešenje postoji i u Španiji i Švedskoj gde se poreklo imovine dokazuje kroz pravo vlasništva i propise u vezi hipoteke, s tim, što se u Švedskoj ono još dokazuje upisom nepokretnosti u Registar imovine jer sve nepokretnosti moraju imati vlasnika, shodno Zakoniku o zemljištu. U Mađarskoj se poreklo imovine reguliše sa više zakona i to: o parničnom postupku, o registru nekretnina, vazdušnom saobraćaju, bezbednosti saobraćaja na javnim putevima. Slično rešenje postoji i u Rumuniji gde pored </w:t>
      </w:r>
      <w:r>
        <w:rPr>
          <w:lang w:val="hr-HR"/>
        </w:rPr>
        <w:t>Zakon</w:t>
      </w:r>
      <w:r>
        <w:t>a</w:t>
      </w:r>
      <w:r w:rsidRPr="00871420">
        <w:rPr>
          <w:lang w:val="hr-HR"/>
        </w:rPr>
        <w:t xml:space="preserve"> </w:t>
      </w:r>
      <w:r>
        <w:t>o</w:t>
      </w:r>
      <w:r w:rsidRPr="00871420">
        <w:t xml:space="preserve"> </w:t>
      </w:r>
      <w:r>
        <w:t>imovinskim</w:t>
      </w:r>
      <w:r w:rsidRPr="00871420">
        <w:t xml:space="preserve"> </w:t>
      </w:r>
      <w:r>
        <w:t>podacima</w:t>
      </w:r>
      <w:r w:rsidRPr="00871420">
        <w:t xml:space="preserve"> </w:t>
      </w:r>
      <w:r>
        <w:t>imaoca</w:t>
      </w:r>
      <w:r w:rsidRPr="00871420">
        <w:t xml:space="preserve"> </w:t>
      </w:r>
      <w:r>
        <w:t>javnih</w:t>
      </w:r>
      <w:r w:rsidRPr="00871420">
        <w:t xml:space="preserve"> </w:t>
      </w:r>
      <w:r>
        <w:t>ovlašćenja</w:t>
      </w:r>
      <w:r w:rsidRPr="00871420">
        <w:t xml:space="preserve">, </w:t>
      </w:r>
      <w:r>
        <w:t>sudija</w:t>
      </w:r>
      <w:r w:rsidRPr="00871420">
        <w:t xml:space="preserve"> </w:t>
      </w:r>
      <w:r>
        <w:t>i</w:t>
      </w:r>
      <w:r w:rsidRPr="00871420">
        <w:t xml:space="preserve"> </w:t>
      </w:r>
      <w:r>
        <w:t>državnih</w:t>
      </w:r>
      <w:r w:rsidRPr="00871420">
        <w:t xml:space="preserve"> </w:t>
      </w:r>
      <w:r>
        <w:t>službenika</w:t>
      </w:r>
      <w:r w:rsidRPr="00871420">
        <w:t xml:space="preserve"> </w:t>
      </w:r>
      <w:r>
        <w:t>i</w:t>
      </w:r>
      <w:r w:rsidRPr="00871420">
        <w:t xml:space="preserve"> </w:t>
      </w:r>
      <w:r>
        <w:t>Zakona</w:t>
      </w:r>
      <w:r w:rsidRPr="00871420">
        <w:t xml:space="preserve"> </w:t>
      </w:r>
      <w:r>
        <w:t>o</w:t>
      </w:r>
      <w:r w:rsidRPr="00871420">
        <w:t xml:space="preserve"> </w:t>
      </w:r>
      <w:r>
        <w:t>Agenciji</w:t>
      </w:r>
      <w:r w:rsidRPr="00871420">
        <w:t xml:space="preserve"> </w:t>
      </w:r>
      <w:r>
        <w:t>za</w:t>
      </w:r>
      <w:r w:rsidRPr="00871420">
        <w:t xml:space="preserve"> </w:t>
      </w:r>
      <w:r>
        <w:t xml:space="preserve">integritet, u Ustavu postoji pretpostavka o sticanju imovine  legalnim putem. Takođe i u Rusiji </w:t>
      </w:r>
      <w:r>
        <w:lastRenderedPageBreak/>
        <w:t xml:space="preserve">poreklo imovine je regulisano sa više akata i to iz oblasti bankarstva, igara na sreću i poreskog sistema. </w:t>
      </w:r>
    </w:p>
    <w:p w:rsidR="00712D73" w:rsidRPr="00190C3A" w:rsidRDefault="00712D73" w:rsidP="00712D73"/>
    <w:p w:rsidR="00712D73" w:rsidRPr="00F513AE" w:rsidRDefault="00712D73" w:rsidP="00712D73">
      <w:r>
        <w:t>Za razliku od toga, postoje primeri iz prakse u kojima je pitanje porekla imovine uređeno kroz poreski sistem i</w:t>
      </w:r>
      <w:r w:rsidRPr="00F513AE">
        <w:t>/</w:t>
      </w:r>
      <w:r>
        <w:t>ili</w:t>
      </w:r>
      <w:r w:rsidRPr="00F513AE">
        <w:t xml:space="preserve"> </w:t>
      </w:r>
      <w:r>
        <w:t>sistem</w:t>
      </w:r>
      <w:r w:rsidRPr="00F513AE">
        <w:t xml:space="preserve"> </w:t>
      </w:r>
      <w:r>
        <w:t>sprečavanja</w:t>
      </w:r>
      <w:r w:rsidRPr="00F513AE">
        <w:t xml:space="preserve"> </w:t>
      </w:r>
      <w:r>
        <w:t>pranja</w:t>
      </w:r>
      <w:r w:rsidRPr="00F513AE">
        <w:t xml:space="preserve"> </w:t>
      </w:r>
      <w:r>
        <w:t>novca</w:t>
      </w:r>
      <w:r w:rsidRPr="00F513AE">
        <w:t xml:space="preserve"> </w:t>
      </w:r>
      <w:r>
        <w:t>i</w:t>
      </w:r>
      <w:r w:rsidRPr="00F513AE">
        <w:t xml:space="preserve"> </w:t>
      </w:r>
      <w:r>
        <w:t>borbe</w:t>
      </w:r>
      <w:r w:rsidRPr="00F513AE">
        <w:t xml:space="preserve"> </w:t>
      </w:r>
      <w:r>
        <w:t>protiv</w:t>
      </w:r>
      <w:r w:rsidRPr="00F513AE">
        <w:t xml:space="preserve"> </w:t>
      </w:r>
      <w:r>
        <w:t xml:space="preserve">terorizma. Ti primeri </w:t>
      </w:r>
      <w:r>
        <w:rPr>
          <w:bCs w:val="0"/>
        </w:rPr>
        <w:t>su detaljnije prikazani u uporedno-pravnoj analizi ovog rada, u skladu sa dostavljenim odgovorima na gore navedeni upitnik.</w:t>
      </w:r>
    </w:p>
    <w:p w:rsidR="00712D73" w:rsidRDefault="00712D73" w:rsidP="00712D73"/>
    <w:p w:rsidR="00712D73" w:rsidRPr="00BD1167" w:rsidRDefault="00712D73" w:rsidP="00712D73">
      <w:pPr>
        <w:pStyle w:val="Heading2"/>
      </w:pPr>
      <w:bookmarkStart w:id="2" w:name="_Toc433287264"/>
      <w:r>
        <w:t>Grčka</w:t>
      </w:r>
      <w:bookmarkEnd w:id="2"/>
    </w:p>
    <w:p w:rsidR="00712D73" w:rsidRPr="000A795F" w:rsidRDefault="00712D73" w:rsidP="00712D73">
      <w:r>
        <w:t>Prema grčkom zakonodavstvu sva sredstva koja fizička lica koriste za sticanje imovine treba da budu navedena u godišnjoj poreskoj prijavi. Međutim, ako su oporezivi prihod i rashod  nesrazmerni, razlika se oporezuje. Osim</w:t>
      </w:r>
      <w:r w:rsidRPr="000A795F">
        <w:t xml:space="preserve"> </w:t>
      </w:r>
      <w:r>
        <w:t>toga</w:t>
      </w:r>
      <w:r w:rsidRPr="000A795F">
        <w:t xml:space="preserve">, </w:t>
      </w:r>
      <w:r>
        <w:t>Zakon</w:t>
      </w:r>
      <w:r w:rsidRPr="000A795F">
        <w:t xml:space="preserve"> </w:t>
      </w:r>
      <w:r>
        <w:t>broj</w:t>
      </w:r>
      <w:r w:rsidRPr="000A795F">
        <w:t xml:space="preserve"> 3213/2003 </w:t>
      </w:r>
      <w:r>
        <w:t>propisao</w:t>
      </w:r>
      <w:r w:rsidRPr="000A795F">
        <w:t xml:space="preserve"> </w:t>
      </w:r>
      <w:r>
        <w:t>je</w:t>
      </w:r>
      <w:r w:rsidRPr="000A795F">
        <w:t xml:space="preserve"> </w:t>
      </w:r>
      <w:r>
        <w:t>obavezu</w:t>
      </w:r>
      <w:r w:rsidRPr="000A795F">
        <w:t xml:space="preserve"> </w:t>
      </w:r>
      <w:r>
        <w:t>svim</w:t>
      </w:r>
      <w:r w:rsidRPr="000A795F">
        <w:t xml:space="preserve"> </w:t>
      </w:r>
      <w:r>
        <w:t>imaocima</w:t>
      </w:r>
      <w:r w:rsidRPr="000A795F">
        <w:t xml:space="preserve"> </w:t>
      </w:r>
      <w:r>
        <w:t>javnih</w:t>
      </w:r>
      <w:r w:rsidRPr="000A795F">
        <w:t xml:space="preserve"> </w:t>
      </w:r>
      <w:r>
        <w:t>ovlašćenja</w:t>
      </w:r>
      <w:r w:rsidRPr="000A795F">
        <w:t xml:space="preserve"> </w:t>
      </w:r>
      <w:r>
        <w:t>i</w:t>
      </w:r>
      <w:r w:rsidRPr="000A795F">
        <w:t xml:space="preserve"> </w:t>
      </w:r>
      <w:r>
        <w:t>licima koja imaju pristup javnim</w:t>
      </w:r>
      <w:r w:rsidRPr="000A795F">
        <w:t xml:space="preserve"> </w:t>
      </w:r>
      <w:r>
        <w:t>sredstvima</w:t>
      </w:r>
      <w:r w:rsidRPr="000A795F">
        <w:t xml:space="preserve"> </w:t>
      </w:r>
      <w:r>
        <w:t>da</w:t>
      </w:r>
      <w:r w:rsidRPr="000A795F">
        <w:t xml:space="preserve"> </w:t>
      </w:r>
      <w:r>
        <w:t>javno</w:t>
      </w:r>
      <w:r w:rsidRPr="000A795F">
        <w:t xml:space="preserve"> </w:t>
      </w:r>
      <w:r>
        <w:t>objave</w:t>
      </w:r>
      <w:r w:rsidRPr="000A795F">
        <w:t xml:space="preserve"> </w:t>
      </w:r>
      <w:r>
        <w:t>podatke</w:t>
      </w:r>
      <w:r w:rsidRPr="000A795F">
        <w:t xml:space="preserve"> </w:t>
      </w:r>
      <w:r>
        <w:t>o</w:t>
      </w:r>
      <w:r w:rsidRPr="000A795F">
        <w:t xml:space="preserve"> </w:t>
      </w:r>
      <w:r>
        <w:t>ličnoj</w:t>
      </w:r>
      <w:r w:rsidRPr="000A795F">
        <w:t xml:space="preserve"> </w:t>
      </w:r>
      <w:r>
        <w:t>imovini</w:t>
      </w:r>
      <w:r w:rsidRPr="000A795F">
        <w:t xml:space="preserve"> </w:t>
      </w:r>
      <w:r>
        <w:t>što</w:t>
      </w:r>
      <w:r w:rsidRPr="000A795F">
        <w:t xml:space="preserve"> </w:t>
      </w:r>
      <w:r>
        <w:t>proveravaju</w:t>
      </w:r>
      <w:r w:rsidRPr="000A795F">
        <w:t xml:space="preserve"> </w:t>
      </w:r>
      <w:r>
        <w:t>organi</w:t>
      </w:r>
      <w:r w:rsidRPr="000A795F">
        <w:t xml:space="preserve"> </w:t>
      </w:r>
      <w:r>
        <w:t>obrazovani</w:t>
      </w:r>
      <w:r w:rsidRPr="000A795F">
        <w:t xml:space="preserve"> </w:t>
      </w:r>
      <w:r>
        <w:t>posebno</w:t>
      </w:r>
      <w:r w:rsidRPr="000A795F">
        <w:t xml:space="preserve"> </w:t>
      </w:r>
      <w:r>
        <w:t>za</w:t>
      </w:r>
      <w:r w:rsidRPr="000A795F">
        <w:t xml:space="preserve"> </w:t>
      </w:r>
      <w:r>
        <w:t>tu</w:t>
      </w:r>
      <w:r w:rsidRPr="000A795F">
        <w:t xml:space="preserve"> </w:t>
      </w:r>
      <w:r>
        <w:t>namenu</w:t>
      </w:r>
      <w:r w:rsidRPr="000A795F">
        <w:t>.</w:t>
      </w:r>
      <w:r>
        <w:t xml:space="preserve"> Za kršenje odredaba pomenutog zakona zaprećene su kazne zatvora od 10 i manje godina i/ili novčane kazne u iznosu od milion evra i više. </w:t>
      </w:r>
    </w:p>
    <w:p w:rsidR="00712D73" w:rsidRPr="00A41208" w:rsidRDefault="00712D73" w:rsidP="00712D73"/>
    <w:p w:rsidR="00712D73" w:rsidRPr="001A63A7" w:rsidRDefault="00712D73" w:rsidP="00712D73">
      <w:pPr>
        <w:pStyle w:val="Heading2"/>
      </w:pPr>
      <w:bookmarkStart w:id="3" w:name="_Toc433287265"/>
      <w:r>
        <w:t>Estonija</w:t>
      </w:r>
      <w:bookmarkEnd w:id="3"/>
      <w:r w:rsidRPr="001A63A7">
        <w:t xml:space="preserve"> </w:t>
      </w:r>
    </w:p>
    <w:p w:rsidR="00712D73" w:rsidRDefault="00712D73" w:rsidP="00712D73">
      <w:pPr>
        <w:rPr>
          <w:rFonts w:eastAsia="Times New Roman"/>
          <w:lang w:eastAsia="en-US"/>
        </w:rPr>
      </w:pPr>
      <w:r>
        <w:t>Poreklo</w:t>
      </w:r>
      <w:r w:rsidRPr="004F7A88">
        <w:t xml:space="preserve"> </w:t>
      </w:r>
      <w:r>
        <w:t>imovine</w:t>
      </w:r>
      <w:r w:rsidRPr="004F7A88">
        <w:t xml:space="preserve"> </w:t>
      </w:r>
      <w:r>
        <w:t>regulisano</w:t>
      </w:r>
      <w:r w:rsidRPr="004F7A88">
        <w:t xml:space="preserve"> </w:t>
      </w:r>
      <w:r>
        <w:t>je</w:t>
      </w:r>
      <w:r w:rsidRPr="004F7A88">
        <w:t xml:space="preserve"> </w:t>
      </w:r>
      <w:r>
        <w:t>Zakonom</w:t>
      </w:r>
      <w:r w:rsidRPr="004F7A88">
        <w:t xml:space="preserve"> </w:t>
      </w:r>
      <w:r>
        <w:t>o</w:t>
      </w:r>
      <w:r w:rsidRPr="004F7A88">
        <w:t xml:space="preserve"> </w:t>
      </w:r>
      <w:r>
        <w:t>sprečavanju</w:t>
      </w:r>
      <w:r w:rsidRPr="004F7A88">
        <w:t xml:space="preserve"> </w:t>
      </w:r>
      <w:r>
        <w:t>pranja</w:t>
      </w:r>
      <w:r w:rsidRPr="004F7A88">
        <w:t xml:space="preserve"> </w:t>
      </w:r>
      <w:r>
        <w:t>novca</w:t>
      </w:r>
      <w:r w:rsidRPr="004F7A88">
        <w:t xml:space="preserve"> </w:t>
      </w:r>
      <w:r>
        <w:t>i</w:t>
      </w:r>
      <w:r w:rsidRPr="004F7A88">
        <w:t xml:space="preserve"> </w:t>
      </w:r>
      <w:r>
        <w:t>finansiranju</w:t>
      </w:r>
      <w:r w:rsidRPr="004F7A88">
        <w:t xml:space="preserve"> </w:t>
      </w:r>
      <w:r>
        <w:t>terorizma</w:t>
      </w:r>
      <w:r w:rsidRPr="004F7A88">
        <w:t xml:space="preserve"> </w:t>
      </w:r>
      <w:r w:rsidRPr="004F7A88">
        <w:rPr>
          <w:i/>
        </w:rPr>
        <w:t>(Money Laundering and Terrorist Financing Prevention Act – MLTFPA).</w:t>
      </w:r>
      <w:r w:rsidRPr="004F7A88">
        <w:rPr>
          <w:rStyle w:val="FootnoteReference"/>
          <w:rFonts w:cs="Arial"/>
          <w:i/>
          <w:szCs w:val="20"/>
        </w:rPr>
        <w:footnoteReference w:id="1"/>
      </w:r>
      <w:r w:rsidRPr="004F7A88">
        <w:t xml:space="preserve"> </w:t>
      </w:r>
      <w:r>
        <w:t>Cilj</w:t>
      </w:r>
      <w:r w:rsidRPr="004F7A88">
        <w:t xml:space="preserve"> </w:t>
      </w:r>
      <w:r>
        <w:t>ovog</w:t>
      </w:r>
      <w:r w:rsidRPr="004F7A88">
        <w:t xml:space="preserve"> </w:t>
      </w:r>
      <w:r>
        <w:t>zakona</w:t>
      </w:r>
      <w:r w:rsidRPr="004F7A88">
        <w:t xml:space="preserve"> </w:t>
      </w:r>
      <w:r>
        <w:t>jeste</w:t>
      </w:r>
      <w:r w:rsidRPr="004F7A88">
        <w:t xml:space="preserve"> </w:t>
      </w:r>
      <w:r>
        <w:t xml:space="preserve">da </w:t>
      </w:r>
      <w:r>
        <w:rPr>
          <w:rFonts w:eastAsia="Times New Roman"/>
          <w:lang w:eastAsia="en-US"/>
        </w:rPr>
        <w:t>spreči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moguću upotrebu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finansijskog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i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ekonomskog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sistema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Republike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Estonije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za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svrhe pranja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novca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i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finansiranja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terorizma. Zakon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reguliše</w:t>
      </w:r>
      <w:r w:rsidRPr="004F7A88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 xml:space="preserve">mere, kontrolu primene mera, zatim obrazovanje i rad Jedinice za finansijske istrage </w:t>
      </w:r>
      <w:r w:rsidRPr="00C67F43">
        <w:rPr>
          <w:rFonts w:eastAsia="Times New Roman"/>
          <w:i/>
          <w:lang w:eastAsia="en-US"/>
        </w:rPr>
        <w:t>(</w:t>
      </w:r>
      <w:r w:rsidRPr="00C67F43">
        <w:rPr>
          <w:i/>
          <w:lang w:val="en-GB"/>
        </w:rPr>
        <w:t>Financial</w:t>
      </w:r>
      <w:r w:rsidRPr="00C67F43">
        <w:rPr>
          <w:i/>
        </w:rPr>
        <w:t xml:space="preserve"> </w:t>
      </w:r>
      <w:r w:rsidRPr="00C67F43">
        <w:rPr>
          <w:i/>
          <w:lang w:val="en-GB"/>
        </w:rPr>
        <w:t>Intelligence</w:t>
      </w:r>
      <w:r w:rsidRPr="00C67F43">
        <w:rPr>
          <w:i/>
        </w:rPr>
        <w:t xml:space="preserve"> </w:t>
      </w:r>
      <w:r w:rsidRPr="00C67F43">
        <w:rPr>
          <w:i/>
          <w:lang w:val="en-GB"/>
        </w:rPr>
        <w:t>Unit</w:t>
      </w:r>
      <w:r w:rsidRPr="00C67F43">
        <w:rPr>
          <w:rFonts w:eastAsia="Times New Roman"/>
          <w:i/>
          <w:lang w:eastAsia="en-US"/>
        </w:rPr>
        <w:t>)</w:t>
      </w:r>
      <w:r>
        <w:rPr>
          <w:rFonts w:eastAsia="Times New Roman"/>
          <w:lang w:eastAsia="en-US"/>
        </w:rPr>
        <w:t xml:space="preserve"> i kaznene mere. </w:t>
      </w:r>
    </w:p>
    <w:p w:rsidR="00712D73" w:rsidRDefault="00712D73" w:rsidP="00712D73">
      <w:pPr>
        <w:rPr>
          <w:rFonts w:eastAsia="Times New Roman"/>
          <w:lang w:eastAsia="en-US"/>
        </w:rPr>
      </w:pPr>
    </w:p>
    <w:p w:rsidR="00712D73" w:rsidRDefault="00712D73" w:rsidP="00712D73">
      <w:pPr>
        <w:rPr>
          <w:lang w:eastAsia="en-US"/>
        </w:rPr>
      </w:pPr>
      <w:r>
        <w:rPr>
          <w:rFonts w:eastAsia="Times New Roman"/>
          <w:lang w:eastAsia="en-US"/>
        </w:rPr>
        <w:t>Zakon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o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sprečavanju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pranja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novca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i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finansiranju</w:t>
      </w:r>
      <w:r w:rsidRPr="0097029C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terorizma, imovinu definiše „kao bilo koji predmet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kao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i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dokument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kojim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se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potvrđuje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pravo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vlasništva</w:t>
      </w:r>
      <w:r w:rsidRPr="0097029C">
        <w:rPr>
          <w:lang w:val="sr-Latn-RS" w:eastAsia="en-US"/>
        </w:rPr>
        <w:t xml:space="preserve"> </w:t>
      </w:r>
      <w:r>
        <w:rPr>
          <w:lang w:eastAsia="en-US"/>
        </w:rPr>
        <w:t>nad tim</w:t>
      </w:r>
      <w:r w:rsidRPr="0097029C">
        <w:rPr>
          <w:lang w:val="sr-Latn-RS" w:eastAsia="en-US"/>
        </w:rPr>
        <w:t xml:space="preserve"> </w:t>
      </w:r>
      <w:r>
        <w:rPr>
          <w:lang w:eastAsia="en-US"/>
        </w:rPr>
        <w:t>predmetom</w:t>
      </w:r>
      <w:r>
        <w:rPr>
          <w:lang w:val="sr-Latn-RS" w:eastAsia="en-US"/>
        </w:rPr>
        <w:t xml:space="preserve"> ili drug</w:t>
      </w:r>
      <w:r>
        <w:rPr>
          <w:lang w:eastAsia="en-US"/>
        </w:rPr>
        <w:t>a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prava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koja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se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odnose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na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predmet</w:t>
      </w:r>
      <w:r w:rsidRPr="0097029C">
        <w:rPr>
          <w:lang w:val="sr-Latn-RS" w:eastAsia="en-US"/>
        </w:rPr>
        <w:t xml:space="preserve">, </w:t>
      </w:r>
      <w:r>
        <w:rPr>
          <w:lang w:val="sr-Latn-RS" w:eastAsia="en-US"/>
        </w:rPr>
        <w:t>uključujući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i</w:t>
      </w:r>
      <w:r w:rsidRPr="0097029C">
        <w:rPr>
          <w:lang w:val="sr-Latn-RS" w:eastAsia="en-US"/>
        </w:rPr>
        <w:t xml:space="preserve"> </w:t>
      </w:r>
      <w:r>
        <w:rPr>
          <w:lang w:val="sr-Latn-RS" w:eastAsia="en-US"/>
        </w:rPr>
        <w:t>elektronski</w:t>
      </w:r>
      <w:r w:rsidRPr="0097029C">
        <w:rPr>
          <w:lang w:val="sr-Latn-RS" w:eastAsia="en-US"/>
        </w:rPr>
        <w:t xml:space="preserve"> </w:t>
      </w:r>
      <w:r>
        <w:rPr>
          <w:lang w:eastAsia="en-US"/>
        </w:rPr>
        <w:t xml:space="preserve">dokumenat i </w:t>
      </w:r>
      <w:r>
        <w:rPr>
          <w:lang w:val="sr-Latn-RS" w:eastAsia="en-US"/>
        </w:rPr>
        <w:t>korist</w:t>
      </w:r>
      <w:r w:rsidRPr="0097029C">
        <w:rPr>
          <w:lang w:val="sr-Latn-RS" w:eastAsia="en-US"/>
        </w:rPr>
        <w:t xml:space="preserve"> </w:t>
      </w:r>
      <w:r>
        <w:rPr>
          <w:lang w:eastAsia="en-US"/>
        </w:rPr>
        <w:t>ostvarenu od tog predmeta</w:t>
      </w:r>
      <w:r w:rsidRPr="0097029C">
        <w:rPr>
          <w:lang w:val="sr-Latn-RS" w:eastAsia="en-US"/>
        </w:rPr>
        <w:t>.</w:t>
      </w:r>
      <w:r>
        <w:rPr>
          <w:lang w:eastAsia="en-US"/>
        </w:rPr>
        <w:t>“ Prema Zakonu, sva pravna lica u sklopu svojih redovnih poslovnih aktivnosti treba da obrate pažnju na sve transakcije a naročito na one sa velikim iznosom sredstava koje nemaju realnu ekonomsku svrhu. Praktično, to znači da pravna lica sprovode mere kao što je:</w:t>
      </w:r>
    </w:p>
    <w:p w:rsidR="00712D73" w:rsidRDefault="00712D73" w:rsidP="00712D73">
      <w:pPr>
        <w:pStyle w:val="ListParagraph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utvrđivanje i provera lica i dokumenata uključenih u transakcije,</w:t>
      </w:r>
    </w:p>
    <w:p w:rsidR="00712D73" w:rsidRDefault="00712D73" w:rsidP="00712D73">
      <w:pPr>
        <w:pStyle w:val="ListParagraph"/>
        <w:numPr>
          <w:ilvl w:val="0"/>
          <w:numId w:val="1"/>
        </w:numPr>
        <w:rPr>
          <w:lang w:eastAsia="en-US"/>
        </w:rPr>
      </w:pPr>
      <w:r>
        <w:rPr>
          <w:lang w:eastAsia="en-US"/>
        </w:rPr>
        <w:t>utvrđivanje</w:t>
      </w:r>
      <w:r w:rsidRPr="00580B46">
        <w:rPr>
          <w:lang w:eastAsia="en-US"/>
        </w:rPr>
        <w:t xml:space="preserve"> </w:t>
      </w:r>
      <w:r>
        <w:rPr>
          <w:lang w:eastAsia="en-US"/>
        </w:rPr>
        <w:t>i</w:t>
      </w:r>
      <w:r w:rsidRPr="00580B46">
        <w:rPr>
          <w:lang w:eastAsia="en-US"/>
        </w:rPr>
        <w:t xml:space="preserve"> </w:t>
      </w:r>
      <w:r>
        <w:rPr>
          <w:lang w:eastAsia="en-US"/>
        </w:rPr>
        <w:t>provera</w:t>
      </w:r>
      <w:r w:rsidRPr="00580B46">
        <w:rPr>
          <w:lang w:eastAsia="en-US"/>
        </w:rPr>
        <w:t xml:space="preserve"> </w:t>
      </w:r>
      <w:r>
        <w:rPr>
          <w:lang w:eastAsia="en-US"/>
        </w:rPr>
        <w:t>prava na zastupanje zastupnika fizičkih i pravnih lica,</w:t>
      </w:r>
    </w:p>
    <w:p w:rsidR="00712D73" w:rsidRDefault="00712D73" w:rsidP="00712D73">
      <w:pPr>
        <w:pStyle w:val="ListParagraph"/>
        <w:numPr>
          <w:ilvl w:val="0"/>
          <w:numId w:val="1"/>
        </w:numPr>
        <w:rPr>
          <w:lang w:eastAsia="en-US"/>
        </w:rPr>
      </w:pPr>
      <w:r>
        <w:rPr>
          <w:spacing w:val="-4"/>
          <w:lang w:eastAsia="en-US"/>
        </w:rPr>
        <w:lastRenderedPageBreak/>
        <w:t>utvrđivanje</w:t>
      </w:r>
      <w:r w:rsidRPr="00480E71">
        <w:rPr>
          <w:spacing w:val="-4"/>
          <w:lang w:eastAsia="en-US"/>
        </w:rPr>
        <w:t xml:space="preserve"> </w:t>
      </w:r>
      <w:r>
        <w:rPr>
          <w:spacing w:val="-4"/>
          <w:lang w:eastAsia="en-US"/>
        </w:rPr>
        <w:t>vlasnika</w:t>
      </w:r>
      <w:r w:rsidRPr="00480E71">
        <w:rPr>
          <w:spacing w:val="-4"/>
          <w:lang w:eastAsia="en-US"/>
        </w:rPr>
        <w:t xml:space="preserve"> </w:t>
      </w:r>
      <w:r>
        <w:rPr>
          <w:spacing w:val="-4"/>
          <w:lang w:val="sr-Latn-RS"/>
        </w:rPr>
        <w:t>uključujući</w:t>
      </w:r>
      <w:r w:rsidRPr="00480E71">
        <w:rPr>
          <w:spacing w:val="-4"/>
          <w:lang w:val="sr-Latn-RS"/>
        </w:rPr>
        <w:t xml:space="preserve"> </w:t>
      </w:r>
      <w:r>
        <w:rPr>
          <w:spacing w:val="-4"/>
          <w:lang w:val="sr-Latn-RS"/>
        </w:rPr>
        <w:t>i</w:t>
      </w:r>
      <w:r w:rsidRPr="00480E71">
        <w:rPr>
          <w:spacing w:val="-4"/>
          <w:lang w:val="sr-Latn-RS"/>
        </w:rPr>
        <w:t xml:space="preserve"> </w:t>
      </w:r>
      <w:r>
        <w:rPr>
          <w:spacing w:val="-4"/>
          <w:lang w:val="sr-Latn-RS"/>
        </w:rPr>
        <w:t>prikupljanje</w:t>
      </w:r>
      <w:r w:rsidRPr="00480E71">
        <w:rPr>
          <w:spacing w:val="-4"/>
          <w:lang w:val="sr-Latn-RS"/>
        </w:rPr>
        <w:t xml:space="preserve"> </w:t>
      </w:r>
      <w:r>
        <w:rPr>
          <w:spacing w:val="-4"/>
          <w:lang w:val="sr-Latn-RS"/>
        </w:rPr>
        <w:t>informacija</w:t>
      </w:r>
      <w:r w:rsidRPr="00480E71">
        <w:rPr>
          <w:spacing w:val="-4"/>
          <w:lang w:val="sr-Latn-RS"/>
        </w:rPr>
        <w:t xml:space="preserve"> </w:t>
      </w:r>
      <w:r>
        <w:rPr>
          <w:spacing w:val="-4"/>
          <w:lang w:val="sr-Latn-RS"/>
        </w:rPr>
        <w:t>o</w:t>
      </w:r>
      <w:r w:rsidRPr="00480E71">
        <w:rPr>
          <w:spacing w:val="-4"/>
          <w:lang w:val="sr-Latn-RS"/>
        </w:rPr>
        <w:t xml:space="preserve"> </w:t>
      </w:r>
      <w:r>
        <w:rPr>
          <w:spacing w:val="-4"/>
          <w:lang w:val="sr-Latn-RS"/>
        </w:rPr>
        <w:t>strukturi</w:t>
      </w:r>
      <w:r w:rsidRPr="00E51666">
        <w:rPr>
          <w:lang w:val="sr-Latn-RS"/>
        </w:rPr>
        <w:t xml:space="preserve"> </w:t>
      </w:r>
      <w:r>
        <w:t xml:space="preserve">vlasništva </w:t>
      </w:r>
      <w:r>
        <w:rPr>
          <w:lang w:val="sr-Latn-RS"/>
        </w:rPr>
        <w:t>pravnog</w:t>
      </w:r>
      <w:r w:rsidRPr="00E51666">
        <w:rPr>
          <w:lang w:val="sr-Latn-RS"/>
        </w:rPr>
        <w:t xml:space="preserve"> </w:t>
      </w:r>
      <w:r>
        <w:rPr>
          <w:lang w:val="sr-Latn-RS"/>
        </w:rPr>
        <w:t>lica</w:t>
      </w:r>
      <w:r w:rsidRPr="00E51666">
        <w:rPr>
          <w:lang w:val="sr-Latn-RS"/>
        </w:rPr>
        <w:t xml:space="preserve">, </w:t>
      </w:r>
      <w:r>
        <w:t xml:space="preserve">provera svih dobijenih informacija iz pouzdanih izvora, </w:t>
      </w:r>
    </w:p>
    <w:p w:rsidR="00712D73" w:rsidRDefault="00712D73" w:rsidP="00712D73">
      <w:pPr>
        <w:pStyle w:val="ListParagraph"/>
        <w:numPr>
          <w:ilvl w:val="0"/>
          <w:numId w:val="1"/>
        </w:numPr>
        <w:rPr>
          <w:lang w:eastAsia="en-US"/>
        </w:rPr>
      </w:pPr>
      <w:r>
        <w:t>prikupljanje</w:t>
      </w:r>
      <w:r w:rsidRPr="0094394C">
        <w:rPr>
          <w:lang w:val="sr-Latn-RS"/>
        </w:rPr>
        <w:t xml:space="preserve"> </w:t>
      </w:r>
      <w:r>
        <w:rPr>
          <w:lang w:val="sr-Latn-RS"/>
        </w:rPr>
        <w:t>informacija</w:t>
      </w:r>
      <w:r w:rsidRPr="0094394C">
        <w:rPr>
          <w:lang w:val="sr-Latn-RS"/>
        </w:rPr>
        <w:t xml:space="preserve"> </w:t>
      </w:r>
      <w:r>
        <w:rPr>
          <w:lang w:val="sr-Latn-RS"/>
        </w:rPr>
        <w:t>o</w:t>
      </w:r>
      <w:r w:rsidRPr="0094394C">
        <w:rPr>
          <w:lang w:val="sr-Latn-RS"/>
        </w:rPr>
        <w:t xml:space="preserve"> </w:t>
      </w:r>
      <w:r>
        <w:rPr>
          <w:lang w:val="sr-Latn-RS"/>
        </w:rPr>
        <w:t>poslovnom</w:t>
      </w:r>
      <w:r w:rsidRPr="0094394C">
        <w:rPr>
          <w:lang w:val="sr-Latn-RS"/>
        </w:rPr>
        <w:t xml:space="preserve"> </w:t>
      </w:r>
      <w:r>
        <w:rPr>
          <w:lang w:val="sr-Latn-RS"/>
        </w:rPr>
        <w:t>odnosu</w:t>
      </w:r>
      <w:r>
        <w:t xml:space="preserve">, </w:t>
      </w:r>
      <w:r>
        <w:rPr>
          <w:lang w:val="sr-Latn-RS"/>
        </w:rPr>
        <w:t>svrsi</w:t>
      </w:r>
      <w:r w:rsidRPr="0094394C">
        <w:rPr>
          <w:lang w:val="sr-Latn-RS"/>
        </w:rPr>
        <w:t xml:space="preserve"> </w:t>
      </w:r>
      <w:r>
        <w:rPr>
          <w:lang w:val="sr-Latn-RS"/>
        </w:rPr>
        <w:t>i</w:t>
      </w:r>
      <w:r w:rsidRPr="0094394C">
        <w:rPr>
          <w:lang w:val="sr-Latn-RS"/>
        </w:rPr>
        <w:t xml:space="preserve"> </w:t>
      </w:r>
      <w:r>
        <w:rPr>
          <w:lang w:val="sr-Latn-RS"/>
        </w:rPr>
        <w:t>prirodi</w:t>
      </w:r>
      <w:r w:rsidRPr="0094394C">
        <w:rPr>
          <w:lang w:val="sr-Latn-RS"/>
        </w:rPr>
        <w:t xml:space="preserve"> </w:t>
      </w:r>
      <w:r>
        <w:rPr>
          <w:lang w:val="sr-Latn-RS"/>
        </w:rPr>
        <w:t>posla</w:t>
      </w:r>
      <w:r>
        <w:t>,</w:t>
      </w:r>
    </w:p>
    <w:p w:rsidR="00712D73" w:rsidRDefault="00712D73" w:rsidP="00712D73">
      <w:pPr>
        <w:pStyle w:val="ListParagraph"/>
        <w:numPr>
          <w:ilvl w:val="0"/>
          <w:numId w:val="1"/>
        </w:numPr>
      </w:pPr>
      <w:r>
        <w:rPr>
          <w:lang w:val="sr-Latn-RS"/>
        </w:rPr>
        <w:t xml:space="preserve">stalno </w:t>
      </w:r>
      <w:r>
        <w:t>nadgledanje</w:t>
      </w:r>
      <w:r w:rsidRPr="0094394C">
        <w:rPr>
          <w:lang w:val="sr-Latn-RS"/>
        </w:rPr>
        <w:t xml:space="preserve"> </w:t>
      </w:r>
      <w:r>
        <w:rPr>
          <w:lang w:val="sr-Latn-RS"/>
        </w:rPr>
        <w:t>poslovnog</w:t>
      </w:r>
      <w:r w:rsidRPr="0094394C">
        <w:rPr>
          <w:lang w:val="sr-Latn-RS"/>
        </w:rPr>
        <w:t xml:space="preserve"> </w:t>
      </w:r>
      <w:r>
        <w:rPr>
          <w:lang w:val="sr-Latn-RS"/>
        </w:rPr>
        <w:t>odnosa</w:t>
      </w:r>
      <w:r w:rsidRPr="0094394C">
        <w:rPr>
          <w:lang w:val="sr-Latn-RS"/>
        </w:rPr>
        <w:t xml:space="preserve">, </w:t>
      </w:r>
      <w:r>
        <w:t xml:space="preserve">provera i ažuriranje informacija. </w:t>
      </w:r>
    </w:p>
    <w:p w:rsidR="00712D73" w:rsidRDefault="00712D73" w:rsidP="00712D73"/>
    <w:p w:rsidR="00712D73" w:rsidRDefault="00712D73" w:rsidP="00712D73">
      <w:r>
        <w:t>Zakon je definisao i pravna lica koja su dužna da sprovode ove mere provere imovine a to su, između ostalog: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kreditne i finansijske institucije,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organizatori igara na sreću,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posrednici u trgovini nekretninama,</w:t>
      </w:r>
    </w:p>
    <w:p w:rsidR="00712D73" w:rsidRPr="000D76F5" w:rsidRDefault="00712D73" w:rsidP="00712D73">
      <w:pPr>
        <w:pStyle w:val="ListParagraph"/>
        <w:numPr>
          <w:ilvl w:val="0"/>
          <w:numId w:val="2"/>
        </w:numPr>
        <w:rPr>
          <w:spacing w:val="-6"/>
        </w:rPr>
      </w:pPr>
      <w:r>
        <w:rPr>
          <w:spacing w:val="-6"/>
        </w:rPr>
        <w:t>prodavci</w:t>
      </w:r>
      <w:r w:rsidRPr="000D76F5">
        <w:rPr>
          <w:spacing w:val="-6"/>
        </w:rPr>
        <w:t xml:space="preserve"> </w:t>
      </w:r>
      <w:r>
        <w:rPr>
          <w:spacing w:val="-6"/>
        </w:rPr>
        <w:t>ako</w:t>
      </w:r>
      <w:r w:rsidRPr="000D76F5">
        <w:rPr>
          <w:spacing w:val="-6"/>
        </w:rPr>
        <w:t xml:space="preserve"> </w:t>
      </w:r>
      <w:r>
        <w:rPr>
          <w:spacing w:val="-6"/>
        </w:rPr>
        <w:t>je</w:t>
      </w:r>
      <w:r w:rsidRPr="000D76F5">
        <w:rPr>
          <w:spacing w:val="-6"/>
        </w:rPr>
        <w:t xml:space="preserve"> </w:t>
      </w:r>
      <w:r>
        <w:rPr>
          <w:spacing w:val="-6"/>
        </w:rPr>
        <w:t>iznos</w:t>
      </w:r>
      <w:r w:rsidRPr="000D76F5">
        <w:rPr>
          <w:spacing w:val="-6"/>
        </w:rPr>
        <w:t xml:space="preserve"> </w:t>
      </w:r>
      <w:r>
        <w:rPr>
          <w:spacing w:val="-6"/>
        </w:rPr>
        <w:t>gotovinskog</w:t>
      </w:r>
      <w:r w:rsidRPr="000D76F5">
        <w:rPr>
          <w:spacing w:val="-6"/>
        </w:rPr>
        <w:t xml:space="preserve"> </w:t>
      </w:r>
      <w:r>
        <w:rPr>
          <w:spacing w:val="-6"/>
        </w:rPr>
        <w:t>plaćanja</w:t>
      </w:r>
      <w:r w:rsidRPr="000D76F5">
        <w:rPr>
          <w:spacing w:val="-6"/>
        </w:rPr>
        <w:t xml:space="preserve"> </w:t>
      </w:r>
      <w:r>
        <w:rPr>
          <w:spacing w:val="-6"/>
        </w:rPr>
        <w:t>veći</w:t>
      </w:r>
      <w:r w:rsidRPr="000D76F5">
        <w:rPr>
          <w:spacing w:val="-6"/>
        </w:rPr>
        <w:t xml:space="preserve"> </w:t>
      </w:r>
      <w:r>
        <w:rPr>
          <w:spacing w:val="-6"/>
        </w:rPr>
        <w:t>od</w:t>
      </w:r>
      <w:r w:rsidRPr="000D76F5">
        <w:rPr>
          <w:spacing w:val="-6"/>
        </w:rPr>
        <w:t xml:space="preserve"> 15 000 </w:t>
      </w:r>
      <w:r>
        <w:rPr>
          <w:spacing w:val="-6"/>
        </w:rPr>
        <w:t>evra</w:t>
      </w:r>
      <w:r w:rsidRPr="000D76F5">
        <w:rPr>
          <w:spacing w:val="-6"/>
        </w:rPr>
        <w:t xml:space="preserve"> </w:t>
      </w:r>
      <w:r>
        <w:rPr>
          <w:spacing w:val="-6"/>
        </w:rPr>
        <w:t>ili</w:t>
      </w:r>
      <w:r w:rsidRPr="000D76F5">
        <w:rPr>
          <w:spacing w:val="-6"/>
        </w:rPr>
        <w:t xml:space="preserve"> </w:t>
      </w:r>
      <w:r>
        <w:rPr>
          <w:spacing w:val="-6"/>
        </w:rPr>
        <w:t>u</w:t>
      </w:r>
      <w:r w:rsidRPr="000D76F5">
        <w:rPr>
          <w:spacing w:val="-6"/>
        </w:rPr>
        <w:t xml:space="preserve"> </w:t>
      </w:r>
      <w:r>
        <w:rPr>
          <w:spacing w:val="-6"/>
        </w:rPr>
        <w:t>toj</w:t>
      </w:r>
      <w:r w:rsidRPr="000D76F5">
        <w:rPr>
          <w:spacing w:val="-6"/>
        </w:rPr>
        <w:t xml:space="preserve"> </w:t>
      </w:r>
      <w:r>
        <w:rPr>
          <w:spacing w:val="-6"/>
        </w:rPr>
        <w:t>protuvrednosti,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zalagaonice,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trgovci na veliko dragocenim metalima osim onih koji se koriste u medicinske svrhe,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revizori, računovođe, poreski savetnici,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neprofitne organizacije u slučaju donacije sredstava čiji iznos je veći od 15 000 evra,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>notari, advokati, izvršitelji, stečajni upravnici,</w:t>
      </w:r>
    </w:p>
    <w:p w:rsidR="00712D73" w:rsidRDefault="00712D73" w:rsidP="00712D73">
      <w:pPr>
        <w:pStyle w:val="ListParagraph"/>
        <w:numPr>
          <w:ilvl w:val="0"/>
          <w:numId w:val="2"/>
        </w:numPr>
      </w:pPr>
      <w:r>
        <w:t xml:space="preserve">Registar hartija od vrednosti. </w:t>
      </w:r>
    </w:p>
    <w:p w:rsidR="00712D73" w:rsidRDefault="00712D73" w:rsidP="00712D73"/>
    <w:p w:rsidR="00712D73" w:rsidRPr="00142923" w:rsidRDefault="00712D73" w:rsidP="00712D73">
      <w:pPr>
        <w:rPr>
          <w:b/>
          <w:bCs w:val="0"/>
        </w:rPr>
      </w:pPr>
      <w:r>
        <w:t>Zakonom je uspostavljena Jedinica za finansijske istrage koja deluje kao samostalno telo u okviru Uprave granične policije.</w:t>
      </w:r>
      <w:r>
        <w:rPr>
          <w:rStyle w:val="FootnoteReference"/>
        </w:rPr>
        <w:footnoteReference w:id="2"/>
      </w:r>
      <w:r>
        <w:t xml:space="preserve"> Jedinica analizira informacije u vezi pranja novca ili finansiranja terorizma i može izreći meru kojom se ograničava raspolaganje sredstvima ili imovinom. U slučajevima gde postoje elementi krivičnog dela, Jedinica sarađuje sa nadležnim institucijama. Takođe, ako se radi o imovini registrovanoj  kod nadležnog registra Jedinica</w:t>
      </w:r>
      <w:r w:rsidRPr="000611C3">
        <w:t xml:space="preserve"> </w:t>
      </w:r>
      <w:r>
        <w:t>za</w:t>
      </w:r>
      <w:r w:rsidRPr="000611C3">
        <w:t xml:space="preserve"> </w:t>
      </w:r>
      <w:r>
        <w:t>finansijske</w:t>
      </w:r>
      <w:r w:rsidRPr="000611C3">
        <w:t xml:space="preserve"> </w:t>
      </w:r>
      <w:r>
        <w:t>istrage</w:t>
      </w:r>
      <w:r w:rsidRPr="000611C3">
        <w:t xml:space="preserve"> </w:t>
      </w:r>
      <w:r>
        <w:t>može ograničiti raspolaganje imovinom radi njene zaštite, u trajanju do 30 dana. Oduzimanje</w:t>
      </w:r>
      <w:r w:rsidRPr="00142923">
        <w:t xml:space="preserve"> </w:t>
      </w:r>
      <w:r>
        <w:t>nezakonito</w:t>
      </w:r>
      <w:r w:rsidRPr="00142923">
        <w:t xml:space="preserve"> </w:t>
      </w:r>
      <w:r>
        <w:t>stečene</w:t>
      </w:r>
      <w:r w:rsidRPr="00142923">
        <w:t xml:space="preserve"> </w:t>
      </w:r>
      <w:r>
        <w:t>imovine regulisano je i Krivičnim zakonikom.</w:t>
      </w:r>
    </w:p>
    <w:p w:rsidR="00712D73" w:rsidRDefault="00712D73" w:rsidP="00712D73"/>
    <w:p w:rsidR="00712D73" w:rsidRPr="00913F53" w:rsidRDefault="00712D73" w:rsidP="00712D73">
      <w:pPr>
        <w:pStyle w:val="Heading2"/>
      </w:pPr>
      <w:bookmarkStart w:id="4" w:name="_Toc433287266"/>
      <w:r>
        <w:t>Kipar</w:t>
      </w:r>
      <w:bookmarkEnd w:id="4"/>
    </w:p>
    <w:p w:rsidR="00712D73" w:rsidRDefault="00712D73" w:rsidP="00712D73">
      <w:r>
        <w:t>Ispitivanje porekla imovine regulisano je sa više akata. Tako je Zakonom o porezu</w:t>
      </w:r>
      <w:r>
        <w:rPr>
          <w:rStyle w:val="FootnoteReference"/>
        </w:rPr>
        <w:footnoteReference w:id="3"/>
      </w:r>
      <w:r>
        <w:t xml:space="preserve"> predviđeno da se „porez</w:t>
      </w:r>
      <w:r w:rsidRPr="00A84272">
        <w:t xml:space="preserve"> </w:t>
      </w:r>
      <w:r>
        <w:t>prikuplja</w:t>
      </w:r>
      <w:r w:rsidRPr="00A84272">
        <w:t xml:space="preserve"> </w:t>
      </w:r>
      <w:r>
        <w:t>na</w:t>
      </w:r>
      <w:r w:rsidRPr="00A84272">
        <w:t xml:space="preserve"> </w:t>
      </w:r>
      <w:r>
        <w:t>oporezivi prihod od bilo kog lica, koji je stečen tokom</w:t>
      </w:r>
      <w:r w:rsidRPr="00A84272">
        <w:t xml:space="preserve"> </w:t>
      </w:r>
      <w:r>
        <w:t>fiskalne</w:t>
      </w:r>
      <w:r w:rsidRPr="00A84272">
        <w:t xml:space="preserve"> </w:t>
      </w:r>
      <w:r>
        <w:t>godine</w:t>
      </w:r>
      <w:r w:rsidRPr="00A84272">
        <w:t xml:space="preserve">" </w:t>
      </w:r>
      <w:r>
        <w:t>što kontroliše poverenik za porez. Poverenik ima nekoliko mogućnosti za to: da zatraži,</w:t>
      </w:r>
      <w:r w:rsidRPr="00A84272">
        <w:t xml:space="preserve"> </w:t>
      </w:r>
      <w:r>
        <w:t>pisanim</w:t>
      </w:r>
      <w:r w:rsidRPr="00A84272">
        <w:t xml:space="preserve"> </w:t>
      </w:r>
      <w:r>
        <w:t xml:space="preserve">putem, dokaz o prihodima ili dokumentaciju i račune  kao i davanje iskaza o imovini, pod zakletvom. U slučaju kada dođe do povećanja prihoda tokom jedne fiskalne godine u odnosu na prethodnu, poverenik može sprovesti detaljnu istragu celokupne imovine. Takođe, Zakonom o porezu na nepokretnosti građani su obavezni da plaćaju porez. Osim toga i pojedini vladini organi </w:t>
      </w:r>
      <w:r>
        <w:lastRenderedPageBreak/>
        <w:t xml:space="preserve">imaju široka ovlašćenja da istražuju </w:t>
      </w:r>
      <w:r>
        <w:rPr>
          <w:lang w:val="sr-Latn-RS"/>
        </w:rPr>
        <w:t>poreklo sredstava koja se koriste za sticanje imovine</w:t>
      </w:r>
      <w:r>
        <w:t>. Primera radi, u okviru Ministarstva</w:t>
      </w:r>
      <w:r w:rsidRPr="005A1A11">
        <w:t xml:space="preserve"> </w:t>
      </w:r>
      <w:r>
        <w:t>finansija</w:t>
      </w:r>
      <w:r w:rsidRPr="005A1A11">
        <w:t xml:space="preserve"> </w:t>
      </w:r>
      <w:r>
        <w:t>postoji Odeljenje za porez koje</w:t>
      </w:r>
      <w:r w:rsidRPr="005A1A11">
        <w:t xml:space="preserve"> </w:t>
      </w:r>
      <w:r>
        <w:t>može</w:t>
      </w:r>
      <w:r w:rsidRPr="005A1A11">
        <w:t xml:space="preserve"> </w:t>
      </w:r>
      <w:r>
        <w:t>obavljati</w:t>
      </w:r>
      <w:r w:rsidRPr="005A1A11">
        <w:t xml:space="preserve"> </w:t>
      </w:r>
      <w:r>
        <w:t xml:space="preserve"> istrage u cilju kontrole sprovođenja zakona i ispunjavanja poreskih obaveza.</w:t>
      </w:r>
      <w:r>
        <w:rPr>
          <w:rStyle w:val="FootnoteReference"/>
        </w:rPr>
        <w:footnoteReference w:id="4"/>
      </w:r>
      <w:r>
        <w:t xml:space="preserve"> </w:t>
      </w:r>
    </w:p>
    <w:p w:rsidR="00712D73" w:rsidRDefault="00712D73" w:rsidP="00712D73"/>
    <w:p w:rsidR="00712D73" w:rsidRPr="001E3459" w:rsidRDefault="00712D73" w:rsidP="00712D73">
      <w:pPr>
        <w:rPr>
          <w:rFonts w:cs="Arial"/>
          <w:szCs w:val="20"/>
          <w:lang w:eastAsia="en-US"/>
        </w:rPr>
      </w:pPr>
      <w:r>
        <w:rPr>
          <w:rFonts w:cs="Arial"/>
          <w:szCs w:val="20"/>
          <w:lang w:eastAsia="en-US"/>
        </w:rPr>
        <w:t>Jedan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od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značajnijih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organa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na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državnom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nivou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jeste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</w:t>
      </w:r>
      <w:r w:rsidRPr="001E3459">
        <w:rPr>
          <w:rFonts w:cs="Arial"/>
          <w:szCs w:val="20"/>
          <w:lang w:eastAsia="en-US"/>
        </w:rPr>
        <w:t xml:space="preserve"> 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eastAsia="en-US"/>
        </w:rPr>
        <w:t>Jedinica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val="sr-Latn-RS" w:eastAsia="en-US"/>
        </w:rPr>
        <w:t>za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eastAsia="en-US"/>
        </w:rPr>
        <w:t xml:space="preserve">sprečavanje pranja </w:t>
      </w:r>
      <w:r>
        <w:rPr>
          <w:rFonts w:cs="Arial"/>
          <w:szCs w:val="20"/>
          <w:lang w:val="sr-Latn-RS" w:eastAsia="en-US"/>
        </w:rPr>
        <w:t>pranja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val="sr-Latn-RS" w:eastAsia="en-US"/>
        </w:rPr>
        <w:t>novca</w:t>
      </w:r>
      <w:r w:rsidRPr="001E3459">
        <w:rPr>
          <w:rFonts w:cs="Arial"/>
          <w:szCs w:val="20"/>
          <w:lang w:val="sr-Latn-RS" w:eastAsia="en-US"/>
        </w:rPr>
        <w:t xml:space="preserve"> </w:t>
      </w:r>
      <w:r w:rsidRPr="001E3459">
        <w:rPr>
          <w:rFonts w:cs="Arial"/>
          <w:i/>
          <w:szCs w:val="20"/>
          <w:lang w:val="sr-Latn-RS" w:eastAsia="en-US"/>
        </w:rPr>
        <w:t>(</w:t>
      </w:r>
      <w:r w:rsidRPr="001E3459">
        <w:rPr>
          <w:rFonts w:cs="Arial"/>
          <w:i/>
          <w:szCs w:val="20"/>
          <w:lang w:val="en-US" w:eastAsia="en-US"/>
        </w:rPr>
        <w:t>MOKAS</w:t>
      </w:r>
      <w:r w:rsidRPr="001E3459">
        <w:rPr>
          <w:rFonts w:cs="Arial"/>
          <w:i/>
          <w:szCs w:val="20"/>
          <w:lang w:val="sr-Latn-RS" w:eastAsia="en-US"/>
        </w:rPr>
        <w:t>)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eastAsia="en-US"/>
        </w:rPr>
        <w:t>koja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takođe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val="sr-Latn-RS" w:eastAsia="en-US"/>
        </w:rPr>
        <w:t>može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val="sr-Latn-RS" w:eastAsia="en-US"/>
        </w:rPr>
        <w:t>da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eastAsia="en-US"/>
        </w:rPr>
        <w:t>pokrene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istragu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poreklu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imovine</w:t>
      </w:r>
      <w:r w:rsidRPr="001E3459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>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određenim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slučajevima</w:t>
      </w:r>
      <w:r w:rsidRPr="001E3459">
        <w:rPr>
          <w:rFonts w:cs="Arial"/>
          <w:szCs w:val="20"/>
          <w:lang w:eastAsia="en-US"/>
        </w:rPr>
        <w:t>.</w:t>
      </w:r>
      <w:r w:rsidRPr="001E3459">
        <w:rPr>
          <w:rStyle w:val="FootnoteReference"/>
          <w:rFonts w:cs="Arial"/>
          <w:bCs w:val="0"/>
          <w:iCs w:val="0"/>
          <w:szCs w:val="20"/>
          <w:lang w:eastAsia="en-US"/>
        </w:rPr>
        <w:footnoteReference w:id="5"/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Ova jedinica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se</w:t>
      </w:r>
      <w:r w:rsidRPr="001E3459">
        <w:rPr>
          <w:rFonts w:cs="Arial"/>
          <w:szCs w:val="20"/>
          <w:lang w:val="sr-Latn-RS" w:eastAsia="en-US"/>
        </w:rPr>
        <w:t xml:space="preserve"> </w:t>
      </w:r>
      <w:r>
        <w:rPr>
          <w:rFonts w:cs="Arial"/>
          <w:szCs w:val="20"/>
          <w:lang w:eastAsia="en-US"/>
        </w:rPr>
        <w:t>zapravo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bavi finansijskim istragama koje sprovodi tako što prikuplja različite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informacije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sumnjivim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transakcijama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uopšte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ali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onima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koje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imaju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veze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pranjem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novca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finansiranjem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terorizma</w:t>
      </w:r>
      <w:r w:rsidRPr="001E3459">
        <w:rPr>
          <w:rFonts w:cs="Arial"/>
          <w:szCs w:val="20"/>
          <w:lang w:eastAsia="en-US"/>
        </w:rPr>
        <w:t xml:space="preserve">. </w:t>
      </w:r>
      <w:r>
        <w:rPr>
          <w:rFonts w:cs="Arial"/>
          <w:szCs w:val="20"/>
          <w:lang w:eastAsia="en-US"/>
        </w:rPr>
        <w:t>Jedinica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deluje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sklopu Državnog tužilaštva i čine je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predstavnici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Tužilaštva</w:t>
      </w:r>
      <w:r w:rsidRPr="001E3459">
        <w:rPr>
          <w:rFonts w:cs="Arial"/>
          <w:szCs w:val="20"/>
          <w:lang w:eastAsia="en-US"/>
        </w:rPr>
        <w:t xml:space="preserve">, </w:t>
      </w:r>
      <w:r>
        <w:rPr>
          <w:rFonts w:cs="Arial"/>
          <w:szCs w:val="20"/>
          <w:lang w:eastAsia="en-US"/>
        </w:rPr>
        <w:t>načelnik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policije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direktor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Odeljenja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za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carinu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i</w:t>
      </w:r>
      <w:r w:rsidRPr="001E3459">
        <w:rPr>
          <w:rFonts w:cs="Arial"/>
          <w:szCs w:val="20"/>
          <w:lang w:eastAsia="en-US"/>
        </w:rPr>
        <w:t xml:space="preserve"> </w:t>
      </w:r>
      <w:r>
        <w:rPr>
          <w:rFonts w:cs="Arial"/>
          <w:szCs w:val="20"/>
          <w:lang w:eastAsia="en-US"/>
        </w:rPr>
        <w:t>akcize</w:t>
      </w:r>
      <w:r w:rsidRPr="001E3459">
        <w:rPr>
          <w:rFonts w:cs="Arial"/>
          <w:szCs w:val="20"/>
          <w:lang w:eastAsia="en-US"/>
        </w:rPr>
        <w:t xml:space="preserve">. </w:t>
      </w:r>
    </w:p>
    <w:p w:rsidR="00712D73" w:rsidRDefault="00712D73" w:rsidP="00712D73"/>
    <w:p w:rsidR="00712D73" w:rsidRDefault="00712D73" w:rsidP="00712D73">
      <w:pPr>
        <w:pStyle w:val="Heading2"/>
      </w:pPr>
      <w:bookmarkStart w:id="5" w:name="_Toc433287267"/>
      <w:r>
        <w:t>Letonija</w:t>
      </w:r>
      <w:bookmarkEnd w:id="5"/>
    </w:p>
    <w:p w:rsidR="00712D73" w:rsidRPr="003E233C" w:rsidRDefault="00712D73" w:rsidP="00712D73">
      <w:r>
        <w:t>Provera porekla</w:t>
      </w:r>
      <w:r w:rsidRPr="003E233C">
        <w:t xml:space="preserve"> </w:t>
      </w:r>
      <w:r>
        <w:t>imovine</w:t>
      </w:r>
      <w:r w:rsidRPr="003E233C">
        <w:t xml:space="preserve"> </w:t>
      </w:r>
      <w:r>
        <w:t>vrši</w:t>
      </w:r>
      <w:r w:rsidRPr="003E233C">
        <w:t xml:space="preserve"> </w:t>
      </w:r>
      <w:r>
        <w:t>se</w:t>
      </w:r>
      <w:r w:rsidRPr="003E233C">
        <w:t xml:space="preserve"> </w:t>
      </w:r>
      <w:r>
        <w:t>shodno</w:t>
      </w:r>
      <w:r w:rsidRPr="003E233C">
        <w:t xml:space="preserve"> </w:t>
      </w:r>
      <w:r>
        <w:t>odredbama</w:t>
      </w:r>
      <w:r w:rsidRPr="003E233C">
        <w:t xml:space="preserve"> </w:t>
      </w:r>
      <w:r>
        <w:t>Zakona</w:t>
      </w:r>
      <w:r w:rsidRPr="003E233C">
        <w:t xml:space="preserve"> </w:t>
      </w:r>
      <w:r>
        <w:t>o</w:t>
      </w:r>
      <w:r w:rsidRPr="003E233C">
        <w:t xml:space="preserve"> </w:t>
      </w:r>
      <w:r>
        <w:t>porezu</w:t>
      </w:r>
      <w:r w:rsidRPr="003E233C">
        <w:t xml:space="preserve"> </w:t>
      </w:r>
      <w:r>
        <w:t>na</w:t>
      </w:r>
      <w:r w:rsidRPr="003E233C">
        <w:t xml:space="preserve"> </w:t>
      </w:r>
      <w:r>
        <w:t>dohodak</w:t>
      </w:r>
      <w:r w:rsidRPr="003E233C">
        <w:t>.</w:t>
      </w:r>
      <w:r w:rsidRPr="003E233C">
        <w:rPr>
          <w:vertAlign w:val="superscript"/>
        </w:rPr>
        <w:footnoteReference w:id="6"/>
      </w:r>
      <w:r w:rsidRPr="003E233C">
        <w:t xml:space="preserve"> </w:t>
      </w:r>
      <w:r>
        <w:t>Naime</w:t>
      </w:r>
      <w:r w:rsidRPr="003E233C">
        <w:t xml:space="preserve">, </w:t>
      </w:r>
      <w:r>
        <w:t>ako</w:t>
      </w:r>
      <w:r w:rsidRPr="003E233C">
        <w:t xml:space="preserve"> </w:t>
      </w:r>
      <w:r>
        <w:t>postoji</w:t>
      </w:r>
      <w:r w:rsidRPr="003E233C">
        <w:t xml:space="preserve"> </w:t>
      </w:r>
      <w:r>
        <w:t>neusklađenost</w:t>
      </w:r>
      <w:r w:rsidRPr="003E233C">
        <w:t xml:space="preserve"> </w:t>
      </w:r>
      <w:r>
        <w:t>između</w:t>
      </w:r>
      <w:r w:rsidRPr="003E233C">
        <w:t xml:space="preserve"> </w:t>
      </w:r>
      <w:r>
        <w:t>prihoda</w:t>
      </w:r>
      <w:r w:rsidRPr="003E233C">
        <w:t xml:space="preserve"> </w:t>
      </w:r>
      <w:r>
        <w:t>i</w:t>
      </w:r>
      <w:r w:rsidRPr="003E233C">
        <w:t xml:space="preserve"> </w:t>
      </w:r>
      <w:r>
        <w:t>rashoda</w:t>
      </w:r>
      <w:r w:rsidRPr="003E233C">
        <w:t xml:space="preserve"> </w:t>
      </w:r>
      <w:r>
        <w:t>u</w:t>
      </w:r>
      <w:r w:rsidRPr="003E233C">
        <w:t xml:space="preserve"> </w:t>
      </w:r>
      <w:r>
        <w:t>godišnjoj</w:t>
      </w:r>
      <w:r w:rsidRPr="003E233C">
        <w:t xml:space="preserve"> </w:t>
      </w:r>
      <w:r>
        <w:t>poreskoj</w:t>
      </w:r>
      <w:r w:rsidRPr="003E233C">
        <w:t xml:space="preserve"> </w:t>
      </w:r>
      <w:r>
        <w:t>prijavi</w:t>
      </w:r>
      <w:r w:rsidRPr="003E233C">
        <w:t xml:space="preserve"> </w:t>
      </w:r>
      <w:r>
        <w:t>koju</w:t>
      </w:r>
      <w:r w:rsidRPr="003E233C">
        <w:t xml:space="preserve"> </w:t>
      </w:r>
      <w:r>
        <w:t>obveznik</w:t>
      </w:r>
      <w:r w:rsidRPr="003E233C">
        <w:t xml:space="preserve"> </w:t>
      </w:r>
      <w:r>
        <w:t>dostavlja</w:t>
      </w:r>
      <w:r w:rsidRPr="003E233C">
        <w:t xml:space="preserve"> </w:t>
      </w:r>
      <w:r>
        <w:t>Državnoj</w:t>
      </w:r>
      <w:r w:rsidRPr="003E233C">
        <w:t xml:space="preserve"> </w:t>
      </w:r>
      <w:r>
        <w:t>poreskoj upravi,</w:t>
      </w:r>
      <w:r w:rsidRPr="003E233C">
        <w:rPr>
          <w:vertAlign w:val="superscript"/>
        </w:rPr>
        <w:footnoteReference w:id="7"/>
      </w:r>
      <w:r w:rsidRPr="003E233C">
        <w:t xml:space="preserve"> </w:t>
      </w:r>
      <w:r>
        <w:t>Uprava</w:t>
      </w:r>
      <w:r w:rsidRPr="003E233C">
        <w:t xml:space="preserve"> </w:t>
      </w:r>
      <w:r>
        <w:t>će</w:t>
      </w:r>
      <w:r w:rsidRPr="003E233C">
        <w:t xml:space="preserve"> </w:t>
      </w:r>
      <w:r>
        <w:t>zahtevati</w:t>
      </w:r>
      <w:r w:rsidRPr="003E233C">
        <w:t xml:space="preserve"> </w:t>
      </w:r>
      <w:r>
        <w:t>dodatno</w:t>
      </w:r>
      <w:r w:rsidRPr="003E233C">
        <w:t xml:space="preserve"> </w:t>
      </w:r>
      <w:r>
        <w:t>dostavljanje</w:t>
      </w:r>
      <w:r w:rsidRPr="003E233C">
        <w:t xml:space="preserve"> </w:t>
      </w:r>
      <w:r>
        <w:t>dokumentacije</w:t>
      </w:r>
      <w:r w:rsidRPr="003E233C">
        <w:t xml:space="preserve"> </w:t>
      </w:r>
      <w:r>
        <w:t>u</w:t>
      </w:r>
      <w:r w:rsidRPr="003E233C">
        <w:t xml:space="preserve"> </w:t>
      </w:r>
      <w:r>
        <w:t>vezi</w:t>
      </w:r>
      <w:r w:rsidRPr="003E233C">
        <w:t xml:space="preserve"> </w:t>
      </w:r>
      <w:r>
        <w:t>primanja</w:t>
      </w:r>
      <w:r w:rsidRPr="003E233C">
        <w:t xml:space="preserve">, </w:t>
      </w:r>
      <w:r>
        <w:t>imovine</w:t>
      </w:r>
      <w:r w:rsidRPr="003E233C">
        <w:t xml:space="preserve">, </w:t>
      </w:r>
      <w:r>
        <w:t>promene</w:t>
      </w:r>
      <w:r w:rsidRPr="003E233C">
        <w:t xml:space="preserve"> </w:t>
      </w:r>
      <w:r>
        <w:t>vrednosti</w:t>
      </w:r>
      <w:r w:rsidRPr="003E233C">
        <w:t xml:space="preserve"> </w:t>
      </w:r>
      <w:r>
        <w:t>imovine</w:t>
      </w:r>
      <w:r w:rsidRPr="003E233C">
        <w:t xml:space="preserve"> </w:t>
      </w:r>
      <w:r>
        <w:t>i</w:t>
      </w:r>
      <w:r w:rsidRPr="003E233C">
        <w:t xml:space="preserve"> </w:t>
      </w:r>
      <w:r>
        <w:t>dr</w:t>
      </w:r>
      <w:r w:rsidRPr="003E233C">
        <w:t xml:space="preserve">. </w:t>
      </w:r>
      <w:r>
        <w:t>Takođe</w:t>
      </w:r>
      <w:r w:rsidRPr="003E233C">
        <w:t xml:space="preserve">, </w:t>
      </w:r>
      <w:r>
        <w:t>Poreska</w:t>
      </w:r>
      <w:r w:rsidRPr="003E233C">
        <w:t xml:space="preserve"> </w:t>
      </w:r>
      <w:r>
        <w:t>uprava</w:t>
      </w:r>
      <w:r w:rsidRPr="003E233C">
        <w:t xml:space="preserve"> </w:t>
      </w:r>
      <w:r>
        <w:t>primenjuje</w:t>
      </w:r>
      <w:r w:rsidRPr="003E233C">
        <w:t xml:space="preserve"> </w:t>
      </w:r>
      <w:r>
        <w:t>i</w:t>
      </w:r>
      <w:r w:rsidRPr="003E233C">
        <w:t xml:space="preserve"> </w:t>
      </w:r>
      <w:r>
        <w:t>određene</w:t>
      </w:r>
      <w:r w:rsidRPr="003E233C">
        <w:t xml:space="preserve"> </w:t>
      </w:r>
      <w:r>
        <w:t>metode</w:t>
      </w:r>
      <w:r w:rsidRPr="003E233C">
        <w:t xml:space="preserve"> (</w:t>
      </w:r>
      <w:r>
        <w:t>praćenje</w:t>
      </w:r>
      <w:r w:rsidRPr="003E233C">
        <w:t xml:space="preserve"> </w:t>
      </w:r>
      <w:r>
        <w:t>promena</w:t>
      </w:r>
      <w:r w:rsidRPr="003E233C">
        <w:t xml:space="preserve"> </w:t>
      </w:r>
      <w:r>
        <w:t>na</w:t>
      </w:r>
      <w:r w:rsidRPr="003E233C">
        <w:t xml:space="preserve"> </w:t>
      </w:r>
      <w:r>
        <w:t>bankovnom</w:t>
      </w:r>
      <w:r w:rsidRPr="003E233C">
        <w:t xml:space="preserve"> </w:t>
      </w:r>
      <w:r>
        <w:t>računu</w:t>
      </w:r>
      <w:r w:rsidRPr="003E233C">
        <w:t xml:space="preserve">, </w:t>
      </w:r>
      <w:r>
        <w:t>gotovinsko</w:t>
      </w:r>
      <w:r w:rsidRPr="003E233C">
        <w:t xml:space="preserve"> </w:t>
      </w:r>
      <w:r>
        <w:t>plaćanje</w:t>
      </w:r>
      <w:r w:rsidRPr="003E233C">
        <w:t xml:space="preserve">, </w:t>
      </w:r>
      <w:r>
        <w:t>odnos</w:t>
      </w:r>
      <w:r w:rsidRPr="003E233C">
        <w:t xml:space="preserve"> </w:t>
      </w:r>
      <w:r>
        <w:t>prihoda</w:t>
      </w:r>
      <w:r w:rsidRPr="003E233C">
        <w:t xml:space="preserve"> </w:t>
      </w:r>
      <w:r>
        <w:t>i</w:t>
      </w:r>
      <w:r w:rsidRPr="003E233C">
        <w:t xml:space="preserve"> </w:t>
      </w:r>
      <w:r>
        <w:t>rashoda</w:t>
      </w:r>
      <w:r w:rsidRPr="003E233C">
        <w:t xml:space="preserve">) </w:t>
      </w:r>
      <w:r>
        <w:t>u</w:t>
      </w:r>
      <w:r w:rsidRPr="003E233C">
        <w:t xml:space="preserve"> </w:t>
      </w:r>
      <w:r>
        <w:t>svrhu</w:t>
      </w:r>
      <w:r w:rsidRPr="003E233C">
        <w:t xml:space="preserve"> </w:t>
      </w:r>
      <w:r>
        <w:t>sprečavanja</w:t>
      </w:r>
      <w:r w:rsidRPr="003E233C">
        <w:t xml:space="preserve"> </w:t>
      </w:r>
      <w:r>
        <w:t>mogućih</w:t>
      </w:r>
      <w:r w:rsidRPr="003E233C">
        <w:t xml:space="preserve"> </w:t>
      </w:r>
      <w:r>
        <w:t>zloupotreba</w:t>
      </w:r>
      <w:r w:rsidRPr="003E233C">
        <w:t>.</w:t>
      </w:r>
    </w:p>
    <w:p w:rsidR="00712D73" w:rsidRPr="00F62E11" w:rsidRDefault="00712D73" w:rsidP="00712D73"/>
    <w:p w:rsidR="00712D73" w:rsidRDefault="00712D73" w:rsidP="00712D73">
      <w:pPr>
        <w:pStyle w:val="Heading2"/>
      </w:pPr>
      <w:bookmarkStart w:id="6" w:name="_Toc433287268"/>
      <w:r>
        <w:t>Poljska</w:t>
      </w:r>
      <w:bookmarkEnd w:id="6"/>
    </w:p>
    <w:p w:rsidR="00712D73" w:rsidRPr="007A213B" w:rsidRDefault="00712D73" w:rsidP="00712D73">
      <w:r>
        <w:t>Poreklo imovine regulisano je Zakonom o porezu na dohodak fizičkih lica i Zakonom o porezu. Tako</w:t>
      </w:r>
      <w:r w:rsidRPr="007A213B">
        <w:t xml:space="preserve"> </w:t>
      </w:r>
      <w:r>
        <w:t>član</w:t>
      </w:r>
      <w:r w:rsidRPr="007A213B">
        <w:t xml:space="preserve"> 20. </w:t>
      </w:r>
      <w:r>
        <w:t>Zakona</w:t>
      </w:r>
      <w:r w:rsidRPr="007A213B">
        <w:t xml:space="preserve"> </w:t>
      </w:r>
      <w:r>
        <w:t>o porezu na dohodak fizičkih lica propisuje</w:t>
      </w:r>
      <w:r w:rsidRPr="007A213B">
        <w:t xml:space="preserve"> </w:t>
      </w:r>
      <w:r>
        <w:t>uslov</w:t>
      </w:r>
      <w:r w:rsidRPr="007A213B">
        <w:t xml:space="preserve"> </w:t>
      </w:r>
      <w:r>
        <w:t>za</w:t>
      </w:r>
      <w:r w:rsidRPr="007A213B">
        <w:t xml:space="preserve"> </w:t>
      </w:r>
      <w:r>
        <w:t>ispitivanje</w:t>
      </w:r>
      <w:r w:rsidRPr="007A213B">
        <w:t xml:space="preserve"> </w:t>
      </w:r>
      <w:r>
        <w:t>porekla</w:t>
      </w:r>
      <w:r w:rsidRPr="007A213B">
        <w:t xml:space="preserve"> </w:t>
      </w:r>
      <w:r>
        <w:t>imovine</w:t>
      </w:r>
      <w:r w:rsidRPr="007A213B">
        <w:t xml:space="preserve"> </w:t>
      </w:r>
      <w:r>
        <w:t>tačnije,</w:t>
      </w:r>
      <w:r w:rsidRPr="007A213B">
        <w:t xml:space="preserve"> </w:t>
      </w:r>
      <w:r>
        <w:t>izvora</w:t>
      </w:r>
      <w:r w:rsidRPr="007A213B">
        <w:t xml:space="preserve"> </w:t>
      </w:r>
      <w:r>
        <w:t>sredstava</w:t>
      </w:r>
      <w:r w:rsidRPr="007A213B">
        <w:t xml:space="preserve"> </w:t>
      </w:r>
      <w:r>
        <w:t>kojima</w:t>
      </w:r>
      <w:r w:rsidRPr="007A213B">
        <w:t xml:space="preserve"> </w:t>
      </w:r>
      <w:r>
        <w:t>je</w:t>
      </w:r>
      <w:r w:rsidRPr="007A213B">
        <w:t xml:space="preserve"> </w:t>
      </w:r>
      <w:r>
        <w:t>imovina</w:t>
      </w:r>
      <w:r w:rsidRPr="007A213B">
        <w:t xml:space="preserve"> </w:t>
      </w:r>
      <w:r>
        <w:t>pribavljena</w:t>
      </w:r>
      <w:r w:rsidRPr="007A213B">
        <w:t xml:space="preserve">. </w:t>
      </w:r>
      <w:r>
        <w:t>Naime</w:t>
      </w:r>
      <w:r w:rsidRPr="007A213B">
        <w:t xml:space="preserve">,  </w:t>
      </w:r>
      <w:r>
        <w:t>visina</w:t>
      </w:r>
      <w:r w:rsidRPr="007A213B">
        <w:t xml:space="preserve"> </w:t>
      </w:r>
      <w:r>
        <w:t>prihoda</w:t>
      </w:r>
      <w:r w:rsidRPr="007A213B">
        <w:t xml:space="preserve"> </w:t>
      </w:r>
      <w:r>
        <w:t>koji</w:t>
      </w:r>
      <w:r w:rsidRPr="007A213B">
        <w:t xml:space="preserve"> </w:t>
      </w:r>
      <w:r>
        <w:t>nije</w:t>
      </w:r>
      <w:r w:rsidRPr="007A213B">
        <w:t xml:space="preserve"> </w:t>
      </w:r>
      <w:r>
        <w:t>opravdan</w:t>
      </w:r>
      <w:r w:rsidRPr="007A213B">
        <w:t xml:space="preserve"> </w:t>
      </w:r>
      <w:r>
        <w:t>izvorom</w:t>
      </w:r>
      <w:r w:rsidRPr="007A213B">
        <w:t xml:space="preserve"> </w:t>
      </w:r>
      <w:r>
        <w:t>ili</w:t>
      </w:r>
      <w:r w:rsidRPr="007A213B">
        <w:t xml:space="preserve"> </w:t>
      </w:r>
      <w:r>
        <w:t>prihod</w:t>
      </w:r>
      <w:r w:rsidRPr="007A213B">
        <w:t xml:space="preserve"> </w:t>
      </w:r>
      <w:r>
        <w:t>iz</w:t>
      </w:r>
      <w:r w:rsidRPr="007A213B">
        <w:t xml:space="preserve"> „</w:t>
      </w:r>
      <w:r>
        <w:t>nevidljivog</w:t>
      </w:r>
      <w:r w:rsidRPr="007A213B">
        <w:t xml:space="preserve">“ </w:t>
      </w:r>
      <w:r>
        <w:t>izvora,</w:t>
      </w:r>
      <w:r w:rsidRPr="007A213B">
        <w:t xml:space="preserve"> </w:t>
      </w:r>
      <w:r>
        <w:t>procenjuje</w:t>
      </w:r>
      <w:r w:rsidRPr="007A213B">
        <w:t xml:space="preserve"> </w:t>
      </w:r>
      <w:r>
        <w:t>se</w:t>
      </w:r>
      <w:r w:rsidRPr="007A213B">
        <w:t xml:space="preserve"> </w:t>
      </w:r>
      <w:r>
        <w:t>na</w:t>
      </w:r>
      <w:r w:rsidRPr="007A213B">
        <w:t xml:space="preserve"> </w:t>
      </w:r>
      <w:r>
        <w:t>osnovu</w:t>
      </w:r>
      <w:r w:rsidRPr="007A213B">
        <w:t xml:space="preserve"> </w:t>
      </w:r>
      <w:r>
        <w:t>rashoda</w:t>
      </w:r>
      <w:r w:rsidRPr="007A213B">
        <w:t xml:space="preserve"> </w:t>
      </w:r>
      <w:r>
        <w:t>koje</w:t>
      </w:r>
      <w:r w:rsidRPr="007A213B">
        <w:t xml:space="preserve"> </w:t>
      </w:r>
      <w:r>
        <w:t>poreski</w:t>
      </w:r>
      <w:r w:rsidRPr="007A213B">
        <w:t xml:space="preserve"> </w:t>
      </w:r>
      <w:r>
        <w:t>obveznik</w:t>
      </w:r>
      <w:r w:rsidRPr="007A213B">
        <w:t xml:space="preserve"> </w:t>
      </w:r>
      <w:r>
        <w:t>navede</w:t>
      </w:r>
      <w:r w:rsidRPr="007A213B">
        <w:t xml:space="preserve"> </w:t>
      </w:r>
      <w:r>
        <w:t>u</w:t>
      </w:r>
      <w:r w:rsidRPr="007A213B">
        <w:t xml:space="preserve"> </w:t>
      </w:r>
      <w:r>
        <w:t>godišnjoj</w:t>
      </w:r>
      <w:r w:rsidRPr="007A213B">
        <w:t xml:space="preserve"> </w:t>
      </w:r>
      <w:r>
        <w:t>poreskoj</w:t>
      </w:r>
      <w:r w:rsidRPr="007A213B">
        <w:t xml:space="preserve"> </w:t>
      </w:r>
      <w:r>
        <w:t>prijavi</w:t>
      </w:r>
      <w:r w:rsidRPr="007A213B">
        <w:t xml:space="preserve"> </w:t>
      </w:r>
      <w:r>
        <w:t>kao</w:t>
      </w:r>
      <w:r w:rsidRPr="007A213B">
        <w:t xml:space="preserve"> </w:t>
      </w:r>
      <w:r>
        <w:t>i</w:t>
      </w:r>
      <w:r w:rsidRPr="007A213B">
        <w:t xml:space="preserve"> </w:t>
      </w:r>
      <w:r>
        <w:t>kroz</w:t>
      </w:r>
      <w:r w:rsidRPr="007A213B">
        <w:t xml:space="preserve"> </w:t>
      </w:r>
      <w:r>
        <w:t>vrednost</w:t>
      </w:r>
      <w:r w:rsidRPr="007A213B">
        <w:t xml:space="preserve"> </w:t>
      </w:r>
      <w:r>
        <w:t>imovine</w:t>
      </w:r>
      <w:r w:rsidRPr="007A213B">
        <w:t xml:space="preserve"> </w:t>
      </w:r>
      <w:r>
        <w:t>stečene</w:t>
      </w:r>
      <w:r w:rsidRPr="007A213B">
        <w:t xml:space="preserve"> </w:t>
      </w:r>
      <w:r>
        <w:t>tokom</w:t>
      </w:r>
      <w:r w:rsidRPr="007A213B">
        <w:t xml:space="preserve"> </w:t>
      </w:r>
      <w:r>
        <w:t>godine</w:t>
      </w:r>
      <w:r w:rsidRPr="007A213B">
        <w:t xml:space="preserve"> </w:t>
      </w:r>
      <w:r>
        <w:t>ako</w:t>
      </w:r>
      <w:r w:rsidRPr="007A213B">
        <w:t xml:space="preserve"> </w:t>
      </w:r>
      <w:r>
        <w:t>ti</w:t>
      </w:r>
      <w:r w:rsidRPr="007A213B">
        <w:t xml:space="preserve"> </w:t>
      </w:r>
      <w:r>
        <w:t>rashodi</w:t>
      </w:r>
      <w:r w:rsidRPr="007A213B">
        <w:t xml:space="preserve"> </w:t>
      </w:r>
      <w:r>
        <w:t>i</w:t>
      </w:r>
      <w:r w:rsidRPr="007A213B">
        <w:t xml:space="preserve"> </w:t>
      </w:r>
      <w:r>
        <w:t>vrednosti</w:t>
      </w:r>
      <w:r w:rsidRPr="007A213B">
        <w:t xml:space="preserve"> </w:t>
      </w:r>
      <w:r>
        <w:t>ne</w:t>
      </w:r>
      <w:r w:rsidRPr="007A213B">
        <w:t xml:space="preserve"> </w:t>
      </w:r>
      <w:r>
        <w:t>mogu</w:t>
      </w:r>
      <w:r w:rsidRPr="007A213B">
        <w:t xml:space="preserve"> </w:t>
      </w:r>
      <w:r>
        <w:t>biti</w:t>
      </w:r>
      <w:r w:rsidRPr="007A213B">
        <w:t xml:space="preserve"> </w:t>
      </w:r>
      <w:r>
        <w:t>podmireni</w:t>
      </w:r>
      <w:r w:rsidRPr="007A213B">
        <w:t xml:space="preserve"> </w:t>
      </w:r>
      <w:r>
        <w:t>iz</w:t>
      </w:r>
      <w:r w:rsidRPr="007A213B">
        <w:t xml:space="preserve"> </w:t>
      </w:r>
      <w:r>
        <w:t>imovine</w:t>
      </w:r>
      <w:r w:rsidRPr="007A213B">
        <w:t xml:space="preserve"> </w:t>
      </w:r>
      <w:r>
        <w:t>stečene</w:t>
      </w:r>
      <w:r w:rsidRPr="007A213B">
        <w:t xml:space="preserve"> </w:t>
      </w:r>
      <w:r>
        <w:t>pre</w:t>
      </w:r>
      <w:r w:rsidRPr="007A213B">
        <w:t xml:space="preserve"> </w:t>
      </w:r>
      <w:r>
        <w:t>njihovog</w:t>
      </w:r>
      <w:r w:rsidRPr="007A213B">
        <w:t xml:space="preserve"> </w:t>
      </w:r>
      <w:r>
        <w:t>nastanka</w:t>
      </w:r>
      <w:r w:rsidRPr="007A213B">
        <w:t xml:space="preserve"> </w:t>
      </w:r>
      <w:r>
        <w:t>ili</w:t>
      </w:r>
      <w:r w:rsidRPr="007A213B">
        <w:t xml:space="preserve"> </w:t>
      </w:r>
      <w:r>
        <w:t>pre</w:t>
      </w:r>
      <w:r w:rsidRPr="007A213B">
        <w:t xml:space="preserve"> </w:t>
      </w:r>
      <w:r>
        <w:t>sticanja</w:t>
      </w:r>
      <w:r w:rsidRPr="007A213B">
        <w:t xml:space="preserve"> </w:t>
      </w:r>
      <w:r>
        <w:t>imovine</w:t>
      </w:r>
      <w:r w:rsidRPr="007A213B">
        <w:t xml:space="preserve">. </w:t>
      </w:r>
      <w:r>
        <w:t>Takođe</w:t>
      </w:r>
      <w:r w:rsidRPr="007A213B">
        <w:t xml:space="preserve">, </w:t>
      </w:r>
      <w:r>
        <w:t>pitanjem</w:t>
      </w:r>
      <w:r w:rsidRPr="007A213B">
        <w:t xml:space="preserve"> </w:t>
      </w:r>
      <w:r>
        <w:t>porekla</w:t>
      </w:r>
      <w:r w:rsidRPr="007A213B">
        <w:t xml:space="preserve"> </w:t>
      </w:r>
      <w:r>
        <w:t>imovine</w:t>
      </w:r>
      <w:r w:rsidRPr="007A213B">
        <w:t xml:space="preserve"> </w:t>
      </w:r>
      <w:r>
        <w:t>bavi</w:t>
      </w:r>
      <w:r w:rsidRPr="007A213B">
        <w:t xml:space="preserve"> </w:t>
      </w:r>
      <w:r>
        <w:t>se</w:t>
      </w:r>
      <w:r w:rsidRPr="007A213B">
        <w:t xml:space="preserve"> </w:t>
      </w:r>
      <w:r>
        <w:t>i</w:t>
      </w:r>
      <w:r w:rsidRPr="007A213B">
        <w:t xml:space="preserve"> </w:t>
      </w:r>
      <w:r>
        <w:t>generalni</w:t>
      </w:r>
      <w:r w:rsidRPr="007A213B">
        <w:t xml:space="preserve"> </w:t>
      </w:r>
      <w:r>
        <w:t>inspektor</w:t>
      </w:r>
      <w:r w:rsidRPr="007A213B">
        <w:t xml:space="preserve"> </w:t>
      </w:r>
      <w:r>
        <w:t>za</w:t>
      </w:r>
      <w:r w:rsidRPr="007A213B">
        <w:t xml:space="preserve"> </w:t>
      </w:r>
      <w:r>
        <w:t>finansijske</w:t>
      </w:r>
      <w:r w:rsidRPr="007A213B">
        <w:t xml:space="preserve"> </w:t>
      </w:r>
      <w:r>
        <w:t>istrage</w:t>
      </w:r>
      <w:r w:rsidRPr="007A213B">
        <w:t xml:space="preserve"> </w:t>
      </w:r>
      <w:r>
        <w:t>u</w:t>
      </w:r>
      <w:r w:rsidRPr="007A213B">
        <w:t xml:space="preserve"> </w:t>
      </w:r>
      <w:r>
        <w:t>skladu</w:t>
      </w:r>
      <w:r w:rsidRPr="007A213B">
        <w:t xml:space="preserve"> </w:t>
      </w:r>
      <w:r>
        <w:t>sa</w:t>
      </w:r>
      <w:r w:rsidRPr="007A213B">
        <w:t xml:space="preserve"> </w:t>
      </w:r>
      <w:r>
        <w:t>odredbama</w:t>
      </w:r>
      <w:r w:rsidRPr="007A213B">
        <w:t xml:space="preserve"> </w:t>
      </w:r>
      <w:r>
        <w:t>Zakona</w:t>
      </w:r>
      <w:r w:rsidRPr="007A213B">
        <w:t xml:space="preserve"> </w:t>
      </w:r>
      <w:r>
        <w:t>o</w:t>
      </w:r>
      <w:r w:rsidRPr="007A213B">
        <w:rPr>
          <w:rStyle w:val="hps"/>
        </w:rPr>
        <w:t xml:space="preserve"> </w:t>
      </w:r>
      <w:r>
        <w:rPr>
          <w:rStyle w:val="hps"/>
        </w:rPr>
        <w:t>sprečavanju</w:t>
      </w:r>
      <w:r w:rsidRPr="007A213B">
        <w:rPr>
          <w:rStyle w:val="hps"/>
        </w:rPr>
        <w:t xml:space="preserve"> </w:t>
      </w:r>
      <w:r>
        <w:rPr>
          <w:rStyle w:val="hps"/>
        </w:rPr>
        <w:t>prometa</w:t>
      </w:r>
      <w:r w:rsidRPr="007A213B">
        <w:t xml:space="preserve"> </w:t>
      </w:r>
      <w:r>
        <w:rPr>
          <w:rStyle w:val="hps"/>
        </w:rPr>
        <w:t>imovin</w:t>
      </w:r>
      <w:r w:rsidRPr="007A213B">
        <w:rPr>
          <w:rStyle w:val="hps"/>
        </w:rPr>
        <w:t xml:space="preserve">e </w:t>
      </w:r>
      <w:r>
        <w:t>stečene</w:t>
      </w:r>
      <w:r w:rsidRPr="007A213B">
        <w:t xml:space="preserve"> </w:t>
      </w:r>
      <w:r>
        <w:t>na</w:t>
      </w:r>
      <w:r w:rsidRPr="007A213B">
        <w:t xml:space="preserve"> </w:t>
      </w:r>
      <w:r>
        <w:t>ilegalan</w:t>
      </w:r>
      <w:r w:rsidRPr="007A213B">
        <w:t xml:space="preserve"> </w:t>
      </w:r>
      <w:r>
        <w:t>način</w:t>
      </w:r>
      <w:r w:rsidRPr="007A213B">
        <w:t xml:space="preserve"> </w:t>
      </w:r>
      <w:r>
        <w:t>i</w:t>
      </w:r>
      <w:r w:rsidRPr="007A213B">
        <w:t xml:space="preserve"> </w:t>
      </w:r>
      <w:r>
        <w:rPr>
          <w:rStyle w:val="hps"/>
        </w:rPr>
        <w:t>borbe</w:t>
      </w:r>
      <w:r w:rsidRPr="007A213B">
        <w:rPr>
          <w:rStyle w:val="hps"/>
        </w:rPr>
        <w:t xml:space="preserve"> </w:t>
      </w:r>
      <w:r>
        <w:rPr>
          <w:rStyle w:val="hps"/>
        </w:rPr>
        <w:t>protiv</w:t>
      </w:r>
      <w:r w:rsidRPr="007A213B">
        <w:t xml:space="preserve"> </w:t>
      </w:r>
      <w:r>
        <w:rPr>
          <w:rStyle w:val="hps"/>
        </w:rPr>
        <w:t>finansiranja</w:t>
      </w:r>
      <w:r w:rsidRPr="007A213B">
        <w:rPr>
          <w:rStyle w:val="hps"/>
        </w:rPr>
        <w:t xml:space="preserve"> </w:t>
      </w:r>
      <w:r>
        <w:rPr>
          <w:rStyle w:val="hps"/>
        </w:rPr>
        <w:t>terorizma</w:t>
      </w:r>
      <w:r w:rsidRPr="007A213B">
        <w:rPr>
          <w:rStyle w:val="hps"/>
        </w:rPr>
        <w:t xml:space="preserve"> </w:t>
      </w:r>
      <w:r>
        <w:rPr>
          <w:rStyle w:val="hps"/>
        </w:rPr>
        <w:t>.</w:t>
      </w:r>
      <w:r w:rsidRPr="007A213B">
        <w:t xml:space="preserve"> </w:t>
      </w:r>
    </w:p>
    <w:p w:rsidR="00712D73" w:rsidRPr="007A213B" w:rsidRDefault="00712D73" w:rsidP="00712D73"/>
    <w:p w:rsidR="00712D73" w:rsidRPr="00A766C3" w:rsidRDefault="00712D73" w:rsidP="00712D73">
      <w:pPr>
        <w:pStyle w:val="Heading2"/>
      </w:pPr>
      <w:bookmarkStart w:id="7" w:name="_Toc433287269"/>
      <w:r>
        <w:lastRenderedPageBreak/>
        <w:t>Slovačka</w:t>
      </w:r>
      <w:bookmarkEnd w:id="7"/>
    </w:p>
    <w:p w:rsidR="00712D73" w:rsidRDefault="00712D73" w:rsidP="00712D73">
      <w:pPr>
        <w:rPr>
          <w:lang w:eastAsia="en-US"/>
        </w:rPr>
      </w:pPr>
      <w:r>
        <w:rPr>
          <w:lang w:eastAsia="en-US"/>
        </w:rPr>
        <w:t xml:space="preserve">Zakon o poreklu imovine Slovačka je donela 2010. godine </w:t>
      </w:r>
      <w:r w:rsidRPr="00902AC4">
        <w:rPr>
          <w:i/>
          <w:lang w:eastAsia="en-US"/>
        </w:rPr>
        <w:t>(</w:t>
      </w:r>
      <w:r w:rsidRPr="00902AC4">
        <w:rPr>
          <w:i/>
          <w:lang w:val="sk-SK" w:eastAsia="en-US"/>
        </w:rPr>
        <w:t>No. 101/2010 Coll</w:t>
      </w:r>
      <w:r w:rsidRPr="00902AC4">
        <w:rPr>
          <w:i/>
          <w:lang w:eastAsia="en-US"/>
        </w:rPr>
        <w:t xml:space="preserve">) </w:t>
      </w:r>
      <w:r>
        <w:rPr>
          <w:lang w:eastAsia="en-US"/>
        </w:rPr>
        <w:t xml:space="preserve">i on predstavlja </w:t>
      </w:r>
      <w:r w:rsidRPr="001751DA">
        <w:rPr>
          <w:i/>
          <w:lang w:val="sr-Latn-ME" w:eastAsia="en-US"/>
        </w:rPr>
        <w:t>lex specialis</w:t>
      </w:r>
      <w:r w:rsidRPr="00434936">
        <w:rPr>
          <w:lang w:eastAsia="en-US"/>
        </w:rPr>
        <w:t xml:space="preserve"> </w:t>
      </w:r>
      <w:r>
        <w:rPr>
          <w:lang w:eastAsia="en-US"/>
        </w:rPr>
        <w:t xml:space="preserve">Krivičnog zakonika i Zakonika o krivičnom postupku. Za njegovo sprovođenje zaduženo je, između ostalog, Odeljenje za proveru imovine koje deluje u okviru Jedinice za finansijske istrage Agencije za krivične istrage pri Ministarstvu  policije. </w:t>
      </w:r>
    </w:p>
    <w:p w:rsidR="00712D73" w:rsidRDefault="00712D73" w:rsidP="00712D73">
      <w:pPr>
        <w:rPr>
          <w:lang w:eastAsia="en-US"/>
        </w:rPr>
      </w:pPr>
    </w:p>
    <w:p w:rsidR="00712D73" w:rsidRDefault="00712D73" w:rsidP="00712D73">
      <w:r>
        <w:t>Prema</w:t>
      </w:r>
      <w:r w:rsidRPr="005A5654">
        <w:t xml:space="preserve"> </w:t>
      </w:r>
      <w:r>
        <w:t>unutrašnjim</w:t>
      </w:r>
      <w:r w:rsidRPr="005A5654">
        <w:t xml:space="preserve"> </w:t>
      </w:r>
      <w:r>
        <w:t>aktima</w:t>
      </w:r>
      <w:r w:rsidRPr="005A5654">
        <w:t xml:space="preserve"> </w:t>
      </w:r>
      <w:r>
        <w:rPr>
          <w:lang w:eastAsia="en-US"/>
        </w:rPr>
        <w:t>Jedinice</w:t>
      </w:r>
      <w:r w:rsidRPr="005A5654">
        <w:rPr>
          <w:lang w:eastAsia="en-US"/>
        </w:rPr>
        <w:t xml:space="preserve"> </w:t>
      </w:r>
      <w:r>
        <w:rPr>
          <w:lang w:eastAsia="en-US"/>
        </w:rPr>
        <w:t>za</w:t>
      </w:r>
      <w:r w:rsidRPr="005A5654">
        <w:rPr>
          <w:lang w:eastAsia="en-US"/>
        </w:rPr>
        <w:t xml:space="preserve"> </w:t>
      </w:r>
      <w:r>
        <w:rPr>
          <w:lang w:eastAsia="en-US"/>
        </w:rPr>
        <w:t>finansijske</w:t>
      </w:r>
      <w:r w:rsidRPr="005A5654">
        <w:rPr>
          <w:lang w:eastAsia="en-US"/>
        </w:rPr>
        <w:t xml:space="preserve"> </w:t>
      </w:r>
      <w:r>
        <w:rPr>
          <w:lang w:eastAsia="en-US"/>
        </w:rPr>
        <w:t>istrage</w:t>
      </w:r>
      <w:r w:rsidRPr="005A5654">
        <w:t xml:space="preserve">, </w:t>
      </w:r>
      <w:r>
        <w:rPr>
          <w:lang w:eastAsia="en-US"/>
        </w:rPr>
        <w:t>Odeljenje</w:t>
      </w:r>
      <w:r w:rsidRPr="005A5654">
        <w:rPr>
          <w:lang w:eastAsia="en-US"/>
        </w:rPr>
        <w:t xml:space="preserve"> </w:t>
      </w:r>
      <w:r>
        <w:rPr>
          <w:lang w:eastAsia="en-US"/>
        </w:rPr>
        <w:t>za</w:t>
      </w:r>
      <w:r w:rsidRPr="005A5654">
        <w:rPr>
          <w:lang w:eastAsia="en-US"/>
        </w:rPr>
        <w:t xml:space="preserve"> </w:t>
      </w:r>
      <w:r>
        <w:rPr>
          <w:lang w:eastAsia="en-US"/>
        </w:rPr>
        <w:t>proveru</w:t>
      </w:r>
      <w:r w:rsidRPr="005A5654">
        <w:rPr>
          <w:lang w:eastAsia="en-US"/>
        </w:rPr>
        <w:t xml:space="preserve"> </w:t>
      </w:r>
      <w:r>
        <w:t>imovine</w:t>
      </w:r>
      <w:r w:rsidRPr="005A5654">
        <w:t xml:space="preserve"> </w:t>
      </w:r>
      <w:r>
        <w:t>zaduženo</w:t>
      </w:r>
      <w:r w:rsidRPr="005A5654">
        <w:t xml:space="preserve"> </w:t>
      </w:r>
      <w:r>
        <w:t>je</w:t>
      </w:r>
      <w:r w:rsidRPr="005A5654">
        <w:t xml:space="preserve"> </w:t>
      </w:r>
      <w:r>
        <w:t>za</w:t>
      </w:r>
      <w:r w:rsidRPr="005A5654">
        <w:t xml:space="preserve"> </w:t>
      </w:r>
      <w:r>
        <w:t>proveru</w:t>
      </w:r>
      <w:r w:rsidRPr="005A5654">
        <w:t xml:space="preserve"> </w:t>
      </w:r>
      <w:r>
        <w:t>prihoda</w:t>
      </w:r>
      <w:r w:rsidRPr="005A5654">
        <w:t xml:space="preserve">, </w:t>
      </w:r>
      <w:r>
        <w:t>procenu</w:t>
      </w:r>
      <w:r w:rsidRPr="005A5654">
        <w:t xml:space="preserve"> </w:t>
      </w:r>
      <w:r>
        <w:t>i</w:t>
      </w:r>
      <w:r w:rsidRPr="005A5654">
        <w:t xml:space="preserve"> </w:t>
      </w:r>
      <w:r>
        <w:t>način</w:t>
      </w:r>
      <w:r w:rsidRPr="005A5654">
        <w:t xml:space="preserve"> </w:t>
      </w:r>
      <w:r>
        <w:t>sticanja</w:t>
      </w:r>
      <w:r w:rsidRPr="005A5654">
        <w:t xml:space="preserve"> </w:t>
      </w:r>
      <w:r>
        <w:t>imovine</w:t>
      </w:r>
      <w:r w:rsidRPr="005A5654">
        <w:t xml:space="preserve"> </w:t>
      </w:r>
      <w:r>
        <w:t>u</w:t>
      </w:r>
      <w:r w:rsidRPr="005A5654">
        <w:t xml:space="preserve"> </w:t>
      </w:r>
      <w:r>
        <w:t>skladu</w:t>
      </w:r>
      <w:r w:rsidRPr="005A5654">
        <w:t xml:space="preserve"> </w:t>
      </w:r>
      <w:r>
        <w:t>sa</w:t>
      </w:r>
      <w:r w:rsidRPr="005A5654">
        <w:t xml:space="preserve">  </w:t>
      </w:r>
      <w:r>
        <w:rPr>
          <w:lang w:eastAsia="en-US"/>
        </w:rPr>
        <w:t>Zakonom</w:t>
      </w:r>
      <w:r w:rsidRPr="005A5654">
        <w:rPr>
          <w:lang w:eastAsia="en-US"/>
        </w:rPr>
        <w:t xml:space="preserve"> </w:t>
      </w:r>
      <w:r>
        <w:rPr>
          <w:lang w:eastAsia="en-US"/>
        </w:rPr>
        <w:t>o</w:t>
      </w:r>
      <w:r w:rsidRPr="005A5654">
        <w:rPr>
          <w:lang w:eastAsia="en-US"/>
        </w:rPr>
        <w:t xml:space="preserve"> </w:t>
      </w:r>
      <w:r>
        <w:rPr>
          <w:lang w:eastAsia="en-US"/>
        </w:rPr>
        <w:t>poreklu</w:t>
      </w:r>
      <w:r w:rsidRPr="005A5654">
        <w:rPr>
          <w:lang w:eastAsia="en-US"/>
        </w:rPr>
        <w:t xml:space="preserve"> </w:t>
      </w:r>
      <w:r>
        <w:rPr>
          <w:lang w:eastAsia="en-US"/>
        </w:rPr>
        <w:t>imovine</w:t>
      </w:r>
      <w:r w:rsidRPr="005A5654">
        <w:rPr>
          <w:lang w:eastAsia="en-US"/>
        </w:rPr>
        <w:t xml:space="preserve"> </w:t>
      </w:r>
      <w:r w:rsidRPr="005A5654">
        <w:t>„</w:t>
      </w:r>
      <w:r>
        <w:t>kojim</w:t>
      </w:r>
      <w:r w:rsidRPr="005A5654">
        <w:t xml:space="preserve"> </w:t>
      </w:r>
      <w:r>
        <w:t>se</w:t>
      </w:r>
      <w:r w:rsidRPr="005A5654">
        <w:t xml:space="preserve"> </w:t>
      </w:r>
      <w:r>
        <w:t>uređuju</w:t>
      </w:r>
      <w:r w:rsidRPr="005A5654">
        <w:t xml:space="preserve"> </w:t>
      </w:r>
      <w:r>
        <w:t>uslovi</w:t>
      </w:r>
      <w:r w:rsidRPr="005A5654">
        <w:t xml:space="preserve"> </w:t>
      </w:r>
      <w:r>
        <w:t>i</w:t>
      </w:r>
      <w:r w:rsidRPr="005A5654">
        <w:t xml:space="preserve"> </w:t>
      </w:r>
      <w:r>
        <w:t>postupak</w:t>
      </w:r>
      <w:r w:rsidRPr="005A5654">
        <w:t xml:space="preserve"> </w:t>
      </w:r>
      <w:r>
        <w:t>nadležnih</w:t>
      </w:r>
      <w:r w:rsidRPr="005A5654">
        <w:t xml:space="preserve"> </w:t>
      </w:r>
      <w:r>
        <w:t>organa</w:t>
      </w:r>
      <w:r w:rsidRPr="005A5654">
        <w:t xml:space="preserve"> </w:t>
      </w:r>
      <w:r>
        <w:t>prilikom</w:t>
      </w:r>
      <w:r w:rsidRPr="005A5654">
        <w:t xml:space="preserve"> </w:t>
      </w:r>
      <w:r>
        <w:t>oduzimanja</w:t>
      </w:r>
      <w:r w:rsidRPr="005A5654">
        <w:t xml:space="preserve"> </w:t>
      </w:r>
      <w:r>
        <w:t>nepokretne i</w:t>
      </w:r>
      <w:r w:rsidRPr="005A5654">
        <w:t xml:space="preserve"> </w:t>
      </w:r>
      <w:r>
        <w:t>pokretne</w:t>
      </w:r>
      <w:r w:rsidRPr="005A5654">
        <w:t xml:space="preserve"> </w:t>
      </w:r>
      <w:r>
        <w:t>imovine</w:t>
      </w:r>
      <w:r w:rsidRPr="005A5654">
        <w:t xml:space="preserve">, </w:t>
      </w:r>
      <w:r>
        <w:t>stanova</w:t>
      </w:r>
      <w:r w:rsidRPr="005A5654">
        <w:t xml:space="preserve"> </w:t>
      </w:r>
      <w:r>
        <w:t>i</w:t>
      </w:r>
      <w:r w:rsidRPr="005A5654">
        <w:t xml:space="preserve"> </w:t>
      </w:r>
      <w:r>
        <w:t>poslovnog</w:t>
      </w:r>
      <w:r w:rsidRPr="005A5654">
        <w:t xml:space="preserve"> </w:t>
      </w:r>
      <w:r>
        <w:t>prostora</w:t>
      </w:r>
      <w:r w:rsidRPr="005A5654">
        <w:t xml:space="preserve">, </w:t>
      </w:r>
      <w:r>
        <w:t>drugih imovinskih prava, gotovine u evrima</w:t>
      </w:r>
      <w:r w:rsidRPr="005A5654">
        <w:t xml:space="preserve"> </w:t>
      </w:r>
      <w:r>
        <w:t>i</w:t>
      </w:r>
      <w:r w:rsidRPr="005A5654">
        <w:t xml:space="preserve"> </w:t>
      </w:r>
      <w:r>
        <w:t>stranoj</w:t>
      </w:r>
      <w:r w:rsidRPr="005A5654">
        <w:t xml:space="preserve"> </w:t>
      </w:r>
      <w:r>
        <w:t>valuti</w:t>
      </w:r>
      <w:r w:rsidRPr="005A5654">
        <w:t xml:space="preserve">, </w:t>
      </w:r>
      <w:r>
        <w:t>depozita</w:t>
      </w:r>
      <w:r w:rsidRPr="005A5654">
        <w:t xml:space="preserve"> </w:t>
      </w:r>
      <w:r>
        <w:t>u evrima i</w:t>
      </w:r>
      <w:r w:rsidRPr="005A5654">
        <w:t xml:space="preserve"> </w:t>
      </w:r>
      <w:r>
        <w:t>stranoj</w:t>
      </w:r>
      <w:r w:rsidRPr="005A5654">
        <w:t xml:space="preserve"> </w:t>
      </w:r>
      <w:r>
        <w:t>valuti</w:t>
      </w:r>
      <w:r w:rsidRPr="005A5654">
        <w:t xml:space="preserve"> </w:t>
      </w:r>
      <w:r>
        <w:t>u</w:t>
      </w:r>
      <w:r w:rsidRPr="005A5654">
        <w:t xml:space="preserve"> </w:t>
      </w:r>
      <w:r>
        <w:t>bankama</w:t>
      </w:r>
      <w:r w:rsidRPr="005A5654">
        <w:t xml:space="preserve"> </w:t>
      </w:r>
      <w:r>
        <w:t>i</w:t>
      </w:r>
      <w:r w:rsidRPr="005A5654">
        <w:t xml:space="preserve"> </w:t>
      </w:r>
      <w:r>
        <w:t>filijalama</w:t>
      </w:r>
      <w:r w:rsidRPr="005A5654">
        <w:t xml:space="preserve"> </w:t>
      </w:r>
      <w:r>
        <w:t>stranih</w:t>
      </w:r>
      <w:r w:rsidRPr="005A5654">
        <w:t xml:space="preserve"> </w:t>
      </w:r>
      <w:r>
        <w:t>banaka</w:t>
      </w:r>
      <w:r w:rsidRPr="005A5654">
        <w:t xml:space="preserve"> </w:t>
      </w:r>
      <w:r>
        <w:t>u</w:t>
      </w:r>
      <w:r w:rsidRPr="005A5654">
        <w:t xml:space="preserve"> </w:t>
      </w:r>
      <w:r>
        <w:t>inostranstvu i depozita fizičkih</w:t>
      </w:r>
      <w:r w:rsidRPr="00431BA8">
        <w:t xml:space="preserve"> </w:t>
      </w:r>
      <w:r>
        <w:t>i</w:t>
      </w:r>
      <w:r w:rsidRPr="00431BA8">
        <w:t xml:space="preserve"> </w:t>
      </w:r>
      <w:r>
        <w:t>pravnih</w:t>
      </w:r>
      <w:r w:rsidRPr="00431BA8">
        <w:t xml:space="preserve"> </w:t>
      </w:r>
      <w:r>
        <w:t>lica</w:t>
      </w:r>
      <w:r w:rsidRPr="00431BA8">
        <w:t xml:space="preserve"> </w:t>
      </w:r>
      <w:r>
        <w:t>u inostranstvu a koje</w:t>
      </w:r>
      <w:r w:rsidRPr="005A5654">
        <w:t xml:space="preserve"> </w:t>
      </w:r>
      <w:r>
        <w:t>je</w:t>
      </w:r>
      <w:r w:rsidRPr="005A5654">
        <w:t xml:space="preserve"> </w:t>
      </w:r>
      <w:r>
        <w:t>sud</w:t>
      </w:r>
      <w:r w:rsidRPr="005A5654">
        <w:t xml:space="preserve"> </w:t>
      </w:r>
      <w:r>
        <w:t>označio</w:t>
      </w:r>
      <w:r w:rsidRPr="005A5654">
        <w:t xml:space="preserve"> </w:t>
      </w:r>
      <w:r>
        <w:t>kao</w:t>
      </w:r>
      <w:r w:rsidRPr="005A5654">
        <w:t xml:space="preserve"> </w:t>
      </w:r>
      <w:r>
        <w:t>imovinu</w:t>
      </w:r>
      <w:r w:rsidRPr="005A5654">
        <w:t xml:space="preserve"> </w:t>
      </w:r>
      <w:r>
        <w:t>proisteklu</w:t>
      </w:r>
      <w:r w:rsidRPr="005A5654">
        <w:t xml:space="preserve"> </w:t>
      </w:r>
      <w:r>
        <w:t>iz</w:t>
      </w:r>
      <w:r w:rsidRPr="005A5654">
        <w:t xml:space="preserve"> </w:t>
      </w:r>
      <w:r>
        <w:t>krivičnog</w:t>
      </w:r>
      <w:r w:rsidRPr="005A5654">
        <w:t xml:space="preserve"> </w:t>
      </w:r>
      <w:r>
        <w:t>dela</w:t>
      </w:r>
      <w:r w:rsidRPr="005A5654">
        <w:t>.</w:t>
      </w:r>
      <w:r>
        <w:t>“</w:t>
      </w:r>
      <w:r w:rsidRPr="005A5654">
        <w:t xml:space="preserve"> </w:t>
      </w:r>
      <w:r>
        <w:rPr>
          <w:rStyle w:val="FootnoteReference"/>
        </w:rPr>
        <w:footnoteReference w:id="8"/>
      </w:r>
      <w:r>
        <w:t xml:space="preserve"> </w:t>
      </w:r>
    </w:p>
    <w:p w:rsidR="00712D73" w:rsidRDefault="00712D73" w:rsidP="00712D73"/>
    <w:p w:rsidR="00712D73" w:rsidRDefault="00712D73" w:rsidP="00712D73">
      <w:pPr>
        <w:rPr>
          <w:lang w:eastAsia="et-EE"/>
        </w:rPr>
      </w:pPr>
      <w:r>
        <w:rPr>
          <w:lang w:eastAsia="et-EE"/>
        </w:rPr>
        <w:t>Jedinica za finansijske istrage a onda i Odeljenje za proveru imovine u sklopu svojih redovnih aktivnosti ima pravo da:</w:t>
      </w:r>
    </w:p>
    <w:p w:rsidR="00712D73" w:rsidRDefault="00712D73" w:rsidP="00712D73">
      <w:pPr>
        <w:pStyle w:val="ListParagraph"/>
        <w:numPr>
          <w:ilvl w:val="0"/>
          <w:numId w:val="6"/>
        </w:numPr>
        <w:rPr>
          <w:lang w:eastAsia="et-EE"/>
        </w:rPr>
      </w:pPr>
      <w:r>
        <w:rPr>
          <w:lang w:eastAsia="et-EE"/>
        </w:rPr>
        <w:t>pristupa svim objektima, prostorijama kao i vozilima koja se koriste za službene potrebe,</w:t>
      </w:r>
    </w:p>
    <w:p w:rsidR="00712D73" w:rsidRDefault="00712D73" w:rsidP="00712D73">
      <w:pPr>
        <w:pStyle w:val="ListParagraph"/>
        <w:numPr>
          <w:ilvl w:val="0"/>
          <w:numId w:val="6"/>
        </w:numPr>
        <w:rPr>
          <w:lang w:eastAsia="et-EE"/>
        </w:rPr>
      </w:pPr>
      <w:r>
        <w:rPr>
          <w:lang w:eastAsia="et-EE"/>
        </w:rPr>
        <w:t>pregleda računovodstvenu dokumentaciju i druga dokumenta, nosače podataka, evidenciju poziva (listing), prepise,</w:t>
      </w:r>
    </w:p>
    <w:p w:rsidR="00712D73" w:rsidRDefault="00712D73" w:rsidP="00712D73">
      <w:pPr>
        <w:pStyle w:val="ListParagraph"/>
        <w:numPr>
          <w:ilvl w:val="0"/>
          <w:numId w:val="6"/>
        </w:numPr>
        <w:rPr>
          <w:lang w:eastAsia="et-EE"/>
        </w:rPr>
      </w:pPr>
      <w:r>
        <w:rPr>
          <w:lang w:eastAsia="et-EE"/>
        </w:rPr>
        <w:t xml:space="preserve">zatraži pismenim putem podatke o računima otvorenim kod banaka domaćih ili stranih, bez obzira što su u obavezi čuvanja podataka (obavezuje ih tzv. bankarska tajna) </w:t>
      </w:r>
      <w:r w:rsidRPr="005F196E">
        <w:rPr>
          <w:lang w:val="sr-Latn-RS"/>
        </w:rPr>
        <w:t>.</w:t>
      </w:r>
    </w:p>
    <w:p w:rsidR="00712D73" w:rsidRPr="00A41208" w:rsidRDefault="00712D73" w:rsidP="00712D73">
      <w:pPr>
        <w:pStyle w:val="ListParagraph"/>
        <w:rPr>
          <w:lang w:eastAsia="et-EE"/>
        </w:rPr>
      </w:pPr>
    </w:p>
    <w:p w:rsidR="00712D73" w:rsidRPr="00827E9F" w:rsidRDefault="00712D73" w:rsidP="00712D73">
      <w:pPr>
        <w:pStyle w:val="Heading2"/>
      </w:pPr>
      <w:bookmarkStart w:id="8" w:name="_Toc433287270"/>
      <w:r>
        <w:t>Hrvatska</w:t>
      </w:r>
      <w:bookmarkEnd w:id="8"/>
    </w:p>
    <w:p w:rsidR="00712D73" w:rsidRPr="00590219" w:rsidRDefault="00712D73" w:rsidP="00712D73">
      <w:r>
        <w:t>Hrvatska se ubraja u red zemalja koje pitanje porekla imovine nisu regulisale posebnim zakonom već su to učinile određenim mehanizmima u oblasti poreskog sistema i Zakonom o porezu na dohodak.</w:t>
      </w:r>
      <w:r w:rsidRPr="00590219">
        <w:rPr>
          <w:vertAlign w:val="superscript"/>
        </w:rPr>
        <w:footnoteReference w:id="9"/>
      </w:r>
      <w:r w:rsidRPr="00590219">
        <w:t xml:space="preserve"> </w:t>
      </w:r>
      <w:r>
        <w:t xml:space="preserve"> U</w:t>
      </w:r>
      <w:r w:rsidRPr="00590219">
        <w:t xml:space="preserve"> </w:t>
      </w:r>
      <w:r>
        <w:t>tom</w:t>
      </w:r>
      <w:r w:rsidRPr="00590219">
        <w:t xml:space="preserve"> </w:t>
      </w:r>
      <w:r>
        <w:t>smislu</w:t>
      </w:r>
      <w:r w:rsidRPr="00590219">
        <w:t xml:space="preserve"> </w:t>
      </w:r>
      <w:r>
        <w:t>najznačajniji</w:t>
      </w:r>
      <w:r w:rsidRPr="00590219">
        <w:t xml:space="preserve"> </w:t>
      </w:r>
      <w:r>
        <w:t>su</w:t>
      </w:r>
      <w:r w:rsidRPr="00590219">
        <w:t xml:space="preserve"> </w:t>
      </w:r>
      <w:r>
        <w:t>tzv</w:t>
      </w:r>
      <w:r w:rsidRPr="00590219">
        <w:t xml:space="preserve"> </w:t>
      </w:r>
      <w:r>
        <w:t>OIB</w:t>
      </w:r>
      <w:r w:rsidRPr="00590219">
        <w:t xml:space="preserve"> (</w:t>
      </w:r>
      <w:r>
        <w:t>osobni</w:t>
      </w:r>
      <w:r w:rsidRPr="00590219">
        <w:t xml:space="preserve"> </w:t>
      </w:r>
      <w:r>
        <w:t>identifikacioni</w:t>
      </w:r>
      <w:r w:rsidRPr="00590219">
        <w:t xml:space="preserve"> </w:t>
      </w:r>
      <w:r>
        <w:t>broj</w:t>
      </w:r>
      <w:r w:rsidRPr="00590219">
        <w:t xml:space="preserve"> - </w:t>
      </w:r>
      <w:r>
        <w:t>stalna</w:t>
      </w:r>
      <w:r w:rsidRPr="00590219">
        <w:t xml:space="preserve"> </w:t>
      </w:r>
      <w:r>
        <w:t>identifikaciona</w:t>
      </w:r>
      <w:r w:rsidRPr="00590219">
        <w:t xml:space="preserve"> </w:t>
      </w:r>
      <w:r>
        <w:t>oznaka</w:t>
      </w:r>
      <w:r w:rsidRPr="00590219">
        <w:t xml:space="preserve"> </w:t>
      </w:r>
      <w:r>
        <w:t>državljana</w:t>
      </w:r>
      <w:r w:rsidRPr="00590219">
        <w:t xml:space="preserve"> </w:t>
      </w:r>
      <w:r>
        <w:t>Republike</w:t>
      </w:r>
      <w:r w:rsidRPr="00590219">
        <w:t xml:space="preserve"> </w:t>
      </w:r>
      <w:r>
        <w:t>Hrvatske</w:t>
      </w:r>
      <w:r w:rsidRPr="00590219">
        <w:t xml:space="preserve"> </w:t>
      </w:r>
      <w:r>
        <w:t>i</w:t>
      </w:r>
      <w:r w:rsidRPr="00590219">
        <w:t xml:space="preserve"> </w:t>
      </w:r>
      <w:r>
        <w:t>pravnih</w:t>
      </w:r>
      <w:r w:rsidRPr="00590219">
        <w:t xml:space="preserve"> </w:t>
      </w:r>
      <w:r>
        <w:t>lica</w:t>
      </w:r>
      <w:r w:rsidRPr="00590219">
        <w:t xml:space="preserve">  </w:t>
      </w:r>
      <w:r>
        <w:t>sa</w:t>
      </w:r>
      <w:r w:rsidRPr="00590219">
        <w:t xml:space="preserve"> </w:t>
      </w:r>
      <w:r>
        <w:t>sedištem</w:t>
      </w:r>
      <w:r w:rsidRPr="00590219">
        <w:t xml:space="preserve"> </w:t>
      </w:r>
      <w:r>
        <w:t>u</w:t>
      </w:r>
      <w:r w:rsidRPr="00590219">
        <w:t xml:space="preserve"> </w:t>
      </w:r>
      <w:r>
        <w:t>Republici</w:t>
      </w:r>
      <w:r w:rsidRPr="00590219">
        <w:t xml:space="preserve"> </w:t>
      </w:r>
      <w:r>
        <w:t>Hrvatskoj</w:t>
      </w:r>
      <w:r w:rsidRPr="00590219">
        <w:t xml:space="preserve"> </w:t>
      </w:r>
      <w:r>
        <w:t>koja</w:t>
      </w:r>
      <w:r w:rsidRPr="00590219">
        <w:t xml:space="preserve"> </w:t>
      </w:r>
      <w:r>
        <w:t>se</w:t>
      </w:r>
      <w:r w:rsidRPr="00590219">
        <w:t xml:space="preserve"> </w:t>
      </w:r>
      <w:r>
        <w:t>koristi</w:t>
      </w:r>
      <w:r w:rsidRPr="00590219">
        <w:t xml:space="preserve"> </w:t>
      </w:r>
      <w:r>
        <w:t>kao</w:t>
      </w:r>
      <w:r w:rsidRPr="00590219">
        <w:t xml:space="preserve"> </w:t>
      </w:r>
      <w:r>
        <w:t>jedinstveni</w:t>
      </w:r>
      <w:r w:rsidRPr="00590219">
        <w:t xml:space="preserve"> </w:t>
      </w:r>
      <w:r>
        <w:t>identifikator</w:t>
      </w:r>
      <w:r w:rsidRPr="00590219">
        <w:t xml:space="preserve"> </w:t>
      </w:r>
      <w:r>
        <w:t>u</w:t>
      </w:r>
      <w:r w:rsidRPr="00590219">
        <w:t xml:space="preserve"> </w:t>
      </w:r>
      <w:r>
        <w:t>različitim</w:t>
      </w:r>
      <w:r w:rsidRPr="00590219">
        <w:t xml:space="preserve"> </w:t>
      </w:r>
      <w:r>
        <w:t>službenim</w:t>
      </w:r>
      <w:r w:rsidRPr="00590219">
        <w:t xml:space="preserve"> </w:t>
      </w:r>
      <w:r>
        <w:t>evidencijama</w:t>
      </w:r>
      <w:r w:rsidRPr="00590219">
        <w:t xml:space="preserve">) </w:t>
      </w:r>
      <w:r>
        <w:t>i</w:t>
      </w:r>
      <w:r w:rsidRPr="00590219">
        <w:t xml:space="preserve"> </w:t>
      </w:r>
      <w:r>
        <w:t>obrazac</w:t>
      </w:r>
      <w:r w:rsidRPr="00590219">
        <w:t xml:space="preserve"> </w:t>
      </w:r>
      <w:r>
        <w:t>JOPPD</w:t>
      </w:r>
      <w:r w:rsidRPr="00590219">
        <w:t xml:space="preserve"> </w:t>
      </w:r>
      <w:r w:rsidRPr="00590219">
        <w:rPr>
          <w:i/>
        </w:rPr>
        <w:t>(</w:t>
      </w:r>
      <w:r>
        <w:rPr>
          <w:i/>
        </w:rPr>
        <w:t>Izvješće</w:t>
      </w:r>
      <w:r w:rsidRPr="00590219">
        <w:rPr>
          <w:i/>
        </w:rPr>
        <w:t xml:space="preserve"> </w:t>
      </w:r>
      <w:r>
        <w:rPr>
          <w:i/>
        </w:rPr>
        <w:t>o</w:t>
      </w:r>
      <w:r w:rsidRPr="00590219">
        <w:rPr>
          <w:i/>
        </w:rPr>
        <w:t xml:space="preserve"> </w:t>
      </w:r>
      <w:r>
        <w:rPr>
          <w:i/>
        </w:rPr>
        <w:t>primicima</w:t>
      </w:r>
      <w:r w:rsidRPr="00590219">
        <w:rPr>
          <w:i/>
        </w:rPr>
        <w:t xml:space="preserve">, </w:t>
      </w:r>
      <w:r>
        <w:rPr>
          <w:i/>
        </w:rPr>
        <w:t>porezu</w:t>
      </w:r>
      <w:r w:rsidRPr="00590219">
        <w:rPr>
          <w:i/>
        </w:rPr>
        <w:t xml:space="preserve"> </w:t>
      </w:r>
      <w:r>
        <w:rPr>
          <w:i/>
        </w:rPr>
        <w:t>na</w:t>
      </w:r>
      <w:r w:rsidRPr="00590219">
        <w:rPr>
          <w:i/>
        </w:rPr>
        <w:t xml:space="preserve"> </w:t>
      </w:r>
      <w:r>
        <w:rPr>
          <w:i/>
        </w:rPr>
        <w:t>dohodak</w:t>
      </w:r>
      <w:r w:rsidRPr="00590219">
        <w:rPr>
          <w:i/>
        </w:rPr>
        <w:t xml:space="preserve"> </w:t>
      </w:r>
      <w:r>
        <w:rPr>
          <w:i/>
        </w:rPr>
        <w:t>i</w:t>
      </w:r>
      <w:r w:rsidRPr="00590219">
        <w:rPr>
          <w:i/>
        </w:rPr>
        <w:t xml:space="preserve"> </w:t>
      </w:r>
      <w:r>
        <w:rPr>
          <w:i/>
        </w:rPr>
        <w:t>prirezu</w:t>
      </w:r>
      <w:r w:rsidRPr="00590219">
        <w:rPr>
          <w:i/>
        </w:rPr>
        <w:t xml:space="preserve"> </w:t>
      </w:r>
      <w:r>
        <w:rPr>
          <w:i/>
        </w:rPr>
        <w:t>te</w:t>
      </w:r>
      <w:r w:rsidRPr="00590219">
        <w:rPr>
          <w:i/>
        </w:rPr>
        <w:t xml:space="preserve"> </w:t>
      </w:r>
      <w:r>
        <w:rPr>
          <w:i/>
        </w:rPr>
        <w:t>doprinosima</w:t>
      </w:r>
      <w:r w:rsidRPr="00590219">
        <w:rPr>
          <w:i/>
        </w:rPr>
        <w:t xml:space="preserve"> </w:t>
      </w:r>
      <w:r>
        <w:rPr>
          <w:i/>
        </w:rPr>
        <w:t>za</w:t>
      </w:r>
      <w:r w:rsidRPr="00590219">
        <w:rPr>
          <w:i/>
        </w:rPr>
        <w:t xml:space="preserve"> </w:t>
      </w:r>
      <w:r>
        <w:rPr>
          <w:i/>
        </w:rPr>
        <w:t>obvezna</w:t>
      </w:r>
      <w:r w:rsidRPr="00590219">
        <w:rPr>
          <w:i/>
        </w:rPr>
        <w:t xml:space="preserve"> </w:t>
      </w:r>
      <w:r>
        <w:rPr>
          <w:i/>
        </w:rPr>
        <w:t>osiguranja</w:t>
      </w:r>
      <w:r w:rsidRPr="00590219">
        <w:rPr>
          <w:i/>
        </w:rPr>
        <w:t>).</w:t>
      </w:r>
      <w:r w:rsidRPr="00590219">
        <w:t xml:space="preserve"> </w:t>
      </w:r>
      <w:r>
        <w:t>Ovim je sva</w:t>
      </w:r>
      <w:r w:rsidRPr="00590219">
        <w:t xml:space="preserve"> </w:t>
      </w:r>
      <w:r>
        <w:t>Zakonom</w:t>
      </w:r>
      <w:r w:rsidRPr="00590219">
        <w:t xml:space="preserve"> </w:t>
      </w:r>
      <w:r>
        <w:t>definisana</w:t>
      </w:r>
      <w:r w:rsidRPr="00590219">
        <w:t xml:space="preserve"> </w:t>
      </w:r>
      <w:r>
        <w:t>imovina</w:t>
      </w:r>
      <w:r w:rsidRPr="00590219">
        <w:t xml:space="preserve"> „</w:t>
      </w:r>
      <w:r>
        <w:t>vidljiva“</w:t>
      </w:r>
      <w:r w:rsidRPr="00590219">
        <w:t xml:space="preserve"> </w:t>
      </w:r>
      <w:r>
        <w:t>Poreskoj</w:t>
      </w:r>
      <w:r w:rsidRPr="00590219">
        <w:t xml:space="preserve"> </w:t>
      </w:r>
      <w:r>
        <w:t>upravi upravo</w:t>
      </w:r>
      <w:r w:rsidRPr="00590219">
        <w:t xml:space="preserve"> </w:t>
      </w:r>
      <w:r>
        <w:t>putem</w:t>
      </w:r>
      <w:r w:rsidRPr="00590219">
        <w:t xml:space="preserve"> </w:t>
      </w:r>
      <w:r>
        <w:t>OIB</w:t>
      </w:r>
      <w:r w:rsidRPr="00590219">
        <w:t xml:space="preserve"> </w:t>
      </w:r>
      <w:r>
        <w:t>broja dok je uvođenjem</w:t>
      </w:r>
      <w:r w:rsidRPr="00590219">
        <w:t xml:space="preserve"> </w:t>
      </w:r>
      <w:r>
        <w:t>JOPPD</w:t>
      </w:r>
      <w:r w:rsidRPr="00590219">
        <w:t xml:space="preserve"> </w:t>
      </w:r>
      <w:r>
        <w:t>obrasca</w:t>
      </w:r>
      <w:r w:rsidRPr="00590219">
        <w:t xml:space="preserve"> </w:t>
      </w:r>
      <w:r>
        <w:t>sprečena mogućnost</w:t>
      </w:r>
      <w:r w:rsidRPr="00590219">
        <w:t xml:space="preserve"> </w:t>
      </w:r>
      <w:r>
        <w:t>da</w:t>
      </w:r>
      <w:r w:rsidRPr="00590219">
        <w:t xml:space="preserve"> </w:t>
      </w:r>
      <w:r>
        <w:t>se</w:t>
      </w:r>
      <w:r w:rsidRPr="00590219">
        <w:t xml:space="preserve"> </w:t>
      </w:r>
      <w:r>
        <w:t>nesrazmer</w:t>
      </w:r>
      <w:r w:rsidRPr="00590219">
        <w:t xml:space="preserve"> </w:t>
      </w:r>
      <w:r>
        <w:t>između</w:t>
      </w:r>
      <w:r w:rsidRPr="00590219">
        <w:t xml:space="preserve"> </w:t>
      </w:r>
      <w:r>
        <w:t>primanja</w:t>
      </w:r>
      <w:r w:rsidRPr="00590219">
        <w:t xml:space="preserve"> </w:t>
      </w:r>
      <w:r>
        <w:t>i</w:t>
      </w:r>
      <w:r w:rsidRPr="00590219">
        <w:t xml:space="preserve"> </w:t>
      </w:r>
      <w:r>
        <w:t>imovine</w:t>
      </w:r>
      <w:r w:rsidRPr="00590219">
        <w:t xml:space="preserve"> </w:t>
      </w:r>
      <w:r>
        <w:t>obrazloži</w:t>
      </w:r>
      <w:r w:rsidRPr="00590219">
        <w:t xml:space="preserve"> </w:t>
      </w:r>
      <w:r>
        <w:t>kroz</w:t>
      </w:r>
      <w:r w:rsidRPr="00590219">
        <w:t xml:space="preserve"> </w:t>
      </w:r>
      <w:r>
        <w:t>ostvarivanje</w:t>
      </w:r>
      <w:r w:rsidRPr="00590219">
        <w:t xml:space="preserve"> </w:t>
      </w:r>
      <w:r>
        <w:t>neoporezive</w:t>
      </w:r>
      <w:r w:rsidRPr="00590219">
        <w:t xml:space="preserve"> </w:t>
      </w:r>
      <w:r>
        <w:t>dobiti</w:t>
      </w:r>
      <w:r w:rsidRPr="00590219">
        <w:t xml:space="preserve">. </w:t>
      </w:r>
      <w:r>
        <w:t>Postupak</w:t>
      </w:r>
      <w:r w:rsidRPr="00590219">
        <w:t xml:space="preserve"> </w:t>
      </w:r>
      <w:r>
        <w:t>ispitivanja</w:t>
      </w:r>
      <w:r w:rsidRPr="00590219">
        <w:t xml:space="preserve"> </w:t>
      </w:r>
      <w:r>
        <w:t>porekla</w:t>
      </w:r>
      <w:r w:rsidRPr="00590219">
        <w:t xml:space="preserve"> </w:t>
      </w:r>
      <w:r>
        <w:lastRenderedPageBreak/>
        <w:t>imovine</w:t>
      </w:r>
      <w:r w:rsidRPr="00590219">
        <w:t xml:space="preserve"> </w:t>
      </w:r>
      <w:r>
        <w:t>sprovodi se nad svim izvorima celokupne</w:t>
      </w:r>
      <w:r w:rsidRPr="00590219">
        <w:t xml:space="preserve"> </w:t>
      </w:r>
      <w:r>
        <w:t>imovine</w:t>
      </w:r>
      <w:r w:rsidRPr="00590219">
        <w:t xml:space="preserve"> </w:t>
      </w:r>
      <w:r>
        <w:t>fizičkih</w:t>
      </w:r>
      <w:r w:rsidRPr="00590219">
        <w:t xml:space="preserve"> </w:t>
      </w:r>
      <w:r>
        <w:t>lica</w:t>
      </w:r>
      <w:r w:rsidRPr="00590219">
        <w:t xml:space="preserve"> </w:t>
      </w:r>
      <w:r>
        <w:t>stečene</w:t>
      </w:r>
      <w:r w:rsidRPr="00590219">
        <w:t xml:space="preserve"> </w:t>
      </w:r>
      <w:r>
        <w:t>od</w:t>
      </w:r>
      <w:r w:rsidRPr="00590219">
        <w:t xml:space="preserve"> 1. </w:t>
      </w:r>
      <w:r>
        <w:t>januara</w:t>
      </w:r>
      <w:r w:rsidRPr="00590219">
        <w:t xml:space="preserve"> 2005. </w:t>
      </w:r>
      <w:r>
        <w:t>godine</w:t>
      </w:r>
      <w:r w:rsidRPr="00590219">
        <w:t>.</w:t>
      </w:r>
    </w:p>
    <w:p w:rsidR="00712D73" w:rsidRDefault="00712D73" w:rsidP="00712D73"/>
    <w:p w:rsidR="00712D73" w:rsidRDefault="00712D73" w:rsidP="00712D73"/>
    <w:p w:rsidR="00712D73" w:rsidRDefault="00712D73" w:rsidP="00712D73">
      <w:pPr>
        <w:pStyle w:val="Heading2"/>
      </w:pPr>
      <w:bookmarkStart w:id="10" w:name="_Toc433287271"/>
      <w:r>
        <w:t>Zaključak</w:t>
      </w:r>
      <w:bookmarkEnd w:id="10"/>
    </w:p>
    <w:p w:rsidR="00712D73" w:rsidRDefault="00712D73" w:rsidP="00712D73">
      <w:pPr>
        <w:rPr>
          <w:lang w:eastAsia="en-US"/>
        </w:rPr>
      </w:pPr>
      <w:r>
        <w:rPr>
          <w:lang w:eastAsia="en-US"/>
        </w:rPr>
        <w:t>Na osnovu podataka može se zaključiti da ne postoji jednoobraznost u pristupu i rešavanju pitanja porekla imovine. Međutim, bez obzira na određene sličnosti i razlike, zajednička karakteristika svih analiziranih zemalja jeste nastojanje da se u pravni sistem uvedu mehanizmi kontrole imovine i prihoda i tako spreče moguće zloupotrebe.</w:t>
      </w:r>
    </w:p>
    <w:p w:rsidR="00712D73" w:rsidRDefault="00712D73" w:rsidP="00712D73"/>
    <w:p w:rsidR="00712D73" w:rsidRPr="00BF64B0" w:rsidRDefault="00712D73" w:rsidP="00712D73"/>
    <w:p w:rsidR="00712D73" w:rsidRPr="00181820" w:rsidRDefault="00712D73" w:rsidP="00712D73"/>
    <w:p w:rsidR="00712D73" w:rsidRDefault="00712D73" w:rsidP="00712D73"/>
    <w:p w:rsidR="00712D73" w:rsidRPr="002A6E4A" w:rsidRDefault="00712D73" w:rsidP="00712D73">
      <w:pPr>
        <w:pStyle w:val="Heading1"/>
      </w:pPr>
      <w:bookmarkStart w:id="11" w:name="_Toc433287272"/>
      <w:r>
        <w:t>Izvori</w:t>
      </w:r>
      <w:r w:rsidRPr="002A6E4A">
        <w:t xml:space="preserve"> </w:t>
      </w:r>
      <w:r>
        <w:t>informacija</w:t>
      </w:r>
      <w:r w:rsidRPr="002A6E4A">
        <w:t>:</w:t>
      </w:r>
      <w:bookmarkEnd w:id="11"/>
    </w:p>
    <w:p w:rsidR="00712D73" w:rsidRPr="004478C0" w:rsidRDefault="00712D73" w:rsidP="00712D73">
      <w:pPr>
        <w:pStyle w:val="Heading1"/>
      </w:pPr>
    </w:p>
    <w:p w:rsidR="00712D73" w:rsidRPr="003D382B" w:rsidRDefault="00712D73" w:rsidP="00712D73">
      <w:pPr>
        <w:pStyle w:val="ListParagraph"/>
        <w:numPr>
          <w:ilvl w:val="0"/>
          <w:numId w:val="5"/>
        </w:numPr>
        <w:rPr>
          <w:snapToGrid w:val="0"/>
          <w:color w:val="000000"/>
          <w:lang w:val="en-GB" w:eastAsia="cs-CZ"/>
        </w:rPr>
      </w:pPr>
      <w:r>
        <w:t>„</w:t>
      </w:r>
      <w:r w:rsidRPr="004478C0">
        <w:t>Annual Report -</w:t>
      </w:r>
      <w:r>
        <w:t xml:space="preserve"> </w:t>
      </w:r>
      <w:r w:rsidRPr="004478C0">
        <w:t>201</w:t>
      </w:r>
      <w:r>
        <w:t>2</w:t>
      </w:r>
      <w:r w:rsidRPr="004478C0">
        <w:t>”</w:t>
      </w:r>
      <w:r>
        <w:t>,</w:t>
      </w:r>
      <w:r w:rsidRPr="004478C0">
        <w:t xml:space="preserve"> Financial Intelligence Unit of the Slovak Republic </w:t>
      </w:r>
    </w:p>
    <w:p w:rsidR="00712D73" w:rsidRPr="004478C0" w:rsidRDefault="00712D73" w:rsidP="00712D73">
      <w:pPr>
        <w:pStyle w:val="ListParagraph"/>
        <w:rPr>
          <w:snapToGrid w:val="0"/>
          <w:color w:val="000000"/>
          <w:lang w:val="en-GB" w:eastAsia="cs-CZ"/>
        </w:rPr>
      </w:pPr>
    </w:p>
    <w:p w:rsidR="00712D73" w:rsidRPr="004478C0" w:rsidRDefault="00712D73" w:rsidP="00712D73">
      <w:pPr>
        <w:pStyle w:val="ListParagraph"/>
        <w:numPr>
          <w:ilvl w:val="0"/>
          <w:numId w:val="5"/>
        </w:numPr>
        <w:rPr>
          <w:lang w:val="en-GB"/>
        </w:rPr>
      </w:pPr>
      <w:r>
        <w:t>Evropski</w:t>
      </w:r>
      <w:r w:rsidRPr="004478C0">
        <w:t xml:space="preserve"> </w:t>
      </w:r>
      <w:r>
        <w:t>centar</w:t>
      </w:r>
      <w:r w:rsidRPr="004478C0">
        <w:t xml:space="preserve"> </w:t>
      </w:r>
      <w:r>
        <w:t>za</w:t>
      </w:r>
      <w:r w:rsidRPr="004478C0">
        <w:t xml:space="preserve"> </w:t>
      </w:r>
      <w:r>
        <w:t>parlamentarna</w:t>
      </w:r>
      <w:r w:rsidRPr="004478C0">
        <w:t xml:space="preserve"> </w:t>
      </w:r>
      <w:r>
        <w:t>istraživanja</w:t>
      </w:r>
      <w:r w:rsidRPr="004478C0">
        <w:t xml:space="preserve"> </w:t>
      </w:r>
      <w:r>
        <w:t>i</w:t>
      </w:r>
      <w:r w:rsidRPr="004478C0">
        <w:t xml:space="preserve"> </w:t>
      </w:r>
      <w:r>
        <w:t>dokumentaciju</w:t>
      </w:r>
      <w:r w:rsidRPr="004478C0">
        <w:t xml:space="preserve"> </w:t>
      </w:r>
      <w:r w:rsidRPr="004478C0">
        <w:rPr>
          <w:i/>
          <w:lang w:val="en-GB"/>
        </w:rPr>
        <w:t>(European Centre for Parliamentary Research and Documentation – ECPRD),</w:t>
      </w:r>
      <w:r w:rsidRPr="004478C0">
        <w:rPr>
          <w:lang w:val="en-GB"/>
        </w:rPr>
        <w:t xml:space="preserve"> Request </w:t>
      </w:r>
      <w:r>
        <w:t>2324/2013, „</w:t>
      </w:r>
      <w:r w:rsidRPr="004478C0">
        <w:rPr>
          <w:lang w:val="en-US"/>
        </w:rPr>
        <w:t>Proving the origin of property</w:t>
      </w:r>
      <w:r>
        <w:t>“</w:t>
      </w:r>
      <w:r w:rsidRPr="004478C0">
        <w:rPr>
          <w:lang w:val="en-US"/>
        </w:rPr>
        <w:t> </w:t>
      </w:r>
      <w:r>
        <w:t xml:space="preserve">, </w:t>
      </w:r>
      <w:r w:rsidRPr="004478C0">
        <w:rPr>
          <w:lang w:val="en-US"/>
        </w:rPr>
        <w:t>Chancellery</w:t>
      </w:r>
      <w:r>
        <w:t xml:space="preserve"> </w:t>
      </w:r>
      <w:r>
        <w:rPr>
          <w:lang w:val="sr-Latn-ME"/>
        </w:rPr>
        <w:t>o</w:t>
      </w:r>
      <w:r w:rsidRPr="001751DA">
        <w:rPr>
          <w:lang w:val="sr-Latn-ME"/>
        </w:rPr>
        <w:t>f</w:t>
      </w:r>
      <w:r w:rsidRPr="004478C0">
        <w:rPr>
          <w:lang w:val="en-US"/>
        </w:rPr>
        <w:t xml:space="preserve"> </w:t>
      </w:r>
      <w:r>
        <w:rPr>
          <w:lang w:val="en-US"/>
        </w:rPr>
        <w:t xml:space="preserve"> the Chamber o</w:t>
      </w:r>
      <w:r w:rsidRPr="004478C0">
        <w:rPr>
          <w:lang w:val="en-US"/>
        </w:rPr>
        <w:t>f Deputies</w:t>
      </w:r>
      <w:r>
        <w:t>,</w:t>
      </w:r>
      <w:r w:rsidRPr="004478C0">
        <w:rPr>
          <w:lang w:val="en-US"/>
        </w:rPr>
        <w:t> Czech Republic </w:t>
      </w:r>
    </w:p>
    <w:p w:rsidR="00712D73" w:rsidRPr="004478C0" w:rsidRDefault="00712D73" w:rsidP="00712D73">
      <w:pPr>
        <w:rPr>
          <w:lang w:val="en-GB"/>
        </w:rPr>
      </w:pPr>
    </w:p>
    <w:p w:rsidR="00712D73" w:rsidRPr="004478C0" w:rsidRDefault="00712D73" w:rsidP="00712D73">
      <w:pPr>
        <w:pStyle w:val="ListParagraph"/>
        <w:rPr>
          <w:lang w:val="en-US"/>
        </w:rPr>
      </w:pPr>
    </w:p>
    <w:p w:rsidR="00712D73" w:rsidRPr="00F35E8D" w:rsidRDefault="00712D73" w:rsidP="00712D73">
      <w:pPr>
        <w:jc w:val="right"/>
        <w:rPr>
          <w:rFonts w:cs="Arial"/>
          <w:b/>
          <w:szCs w:val="20"/>
        </w:rPr>
      </w:pPr>
      <w:r>
        <w:rPr>
          <w:rFonts w:cs="Arial"/>
          <w:szCs w:val="20"/>
        </w:rPr>
        <w:t>Istraživanje</w:t>
      </w:r>
      <w:r w:rsidRPr="00F35E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uradila</w:t>
      </w:r>
      <w:r w:rsidRPr="00F35E8D">
        <w:rPr>
          <w:rFonts w:cs="Arial"/>
          <w:szCs w:val="20"/>
        </w:rPr>
        <w:t>:</w:t>
      </w:r>
    </w:p>
    <w:p w:rsidR="00712D73" w:rsidRPr="00F35E8D" w:rsidRDefault="00712D73" w:rsidP="00712D73">
      <w:pPr>
        <w:jc w:val="right"/>
        <w:rPr>
          <w:rFonts w:cs="Arial"/>
          <w:b/>
          <w:szCs w:val="20"/>
        </w:rPr>
      </w:pPr>
    </w:p>
    <w:p w:rsidR="00712D73" w:rsidRPr="00F35E8D" w:rsidRDefault="00712D73" w:rsidP="00712D73">
      <w:pPr>
        <w:jc w:val="right"/>
        <w:rPr>
          <w:rFonts w:cs="Arial"/>
          <w:b/>
          <w:szCs w:val="20"/>
        </w:rPr>
      </w:pPr>
      <w:r>
        <w:rPr>
          <w:rFonts w:cs="Arial"/>
          <w:szCs w:val="20"/>
        </w:rPr>
        <w:t>Milana</w:t>
      </w:r>
      <w:r w:rsidRPr="00F35E8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Šteković,</w:t>
      </w:r>
    </w:p>
    <w:p w:rsidR="00712D73" w:rsidRPr="00181820" w:rsidRDefault="00712D73" w:rsidP="00712D73">
      <w:pPr>
        <w:jc w:val="right"/>
        <w:rPr>
          <w:rFonts w:cs="Arial"/>
          <w:szCs w:val="20"/>
        </w:rPr>
      </w:pPr>
      <w:r>
        <w:rPr>
          <w:rFonts w:cs="Arial"/>
          <w:szCs w:val="20"/>
        </w:rPr>
        <w:t>viši savetnik-istraživač</w:t>
      </w:r>
    </w:p>
    <w:p w:rsidR="00712D73" w:rsidRPr="00181820" w:rsidRDefault="00712D73" w:rsidP="00712D73"/>
    <w:p w:rsidR="00045393" w:rsidRPr="00712D73" w:rsidRDefault="00045393" w:rsidP="00712D73">
      <w:pPr>
        <w:ind w:left="5040"/>
      </w:pPr>
    </w:p>
    <w:sectPr w:rsidR="00045393" w:rsidRPr="00712D73" w:rsidSect="00F511FA">
      <w:footerReference w:type="even" r:id="rId10"/>
      <w:footerReference w:type="default" r:id="rId11"/>
      <w:pgSz w:w="12240" w:h="15840"/>
      <w:pgMar w:top="1440" w:right="1800" w:bottom="1440" w:left="1800" w:header="720" w:footer="72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06B" w:rsidRDefault="001A306B" w:rsidP="00712D73">
      <w:pPr>
        <w:spacing w:line="240" w:lineRule="auto"/>
      </w:pPr>
      <w:r>
        <w:separator/>
      </w:r>
    </w:p>
  </w:endnote>
  <w:endnote w:type="continuationSeparator" w:id="0">
    <w:p w:rsidR="001A306B" w:rsidRDefault="001A306B" w:rsidP="00712D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D" w:rsidRDefault="001A306B" w:rsidP="00F5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8</w:t>
    </w:r>
    <w:r>
      <w:rPr>
        <w:rStyle w:val="PageNumber"/>
      </w:rPr>
      <w:fldChar w:fldCharType="end"/>
    </w:r>
  </w:p>
  <w:p w:rsidR="000979AD" w:rsidRDefault="00244693" w:rsidP="0084167D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79AD" w:rsidRDefault="001A306B" w:rsidP="00F511F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4693">
      <w:rPr>
        <w:rStyle w:val="PageNumber"/>
        <w:noProof/>
      </w:rPr>
      <w:t>2</w:t>
    </w:r>
    <w:r>
      <w:rPr>
        <w:rStyle w:val="PageNumber"/>
      </w:rPr>
      <w:fldChar w:fldCharType="end"/>
    </w:r>
  </w:p>
  <w:p w:rsidR="000979AD" w:rsidRDefault="00244693" w:rsidP="0084167D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06B" w:rsidRDefault="001A306B" w:rsidP="00712D73">
      <w:pPr>
        <w:spacing w:line="240" w:lineRule="auto"/>
      </w:pPr>
      <w:r>
        <w:separator/>
      </w:r>
    </w:p>
  </w:footnote>
  <w:footnote w:type="continuationSeparator" w:id="0">
    <w:p w:rsidR="001A306B" w:rsidRDefault="001A306B" w:rsidP="00712D73">
      <w:pPr>
        <w:spacing w:line="240" w:lineRule="auto"/>
      </w:pPr>
      <w:r>
        <w:continuationSeparator/>
      </w:r>
    </w:p>
  </w:footnote>
  <w:footnote w:id="1">
    <w:p w:rsidR="00712D73" w:rsidRPr="00E64D87" w:rsidRDefault="00712D73" w:rsidP="00712D73">
      <w:pPr>
        <w:pStyle w:val="NoSpacing"/>
        <w:rPr>
          <w:rFonts w:ascii="Arial" w:hAnsi="Arial" w:cs="Arial"/>
          <w:sz w:val="20"/>
          <w:szCs w:val="20"/>
        </w:rPr>
      </w:pPr>
      <w:r w:rsidRPr="00E64D87">
        <w:rPr>
          <w:rStyle w:val="FootnoteReference"/>
          <w:rFonts w:ascii="Arial" w:hAnsi="Arial" w:cs="Arial"/>
          <w:sz w:val="20"/>
          <w:szCs w:val="20"/>
        </w:rPr>
        <w:footnoteRef/>
      </w:r>
      <w:r w:rsidRPr="00E64D87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Internet</w:t>
      </w:r>
      <w:r w:rsidRPr="00C9188A">
        <w:rPr>
          <w:rFonts w:ascii="Arial" w:hAnsi="Arial" w:cs="Arial"/>
          <w:sz w:val="20"/>
          <w:szCs w:val="20"/>
          <w:lang w:val="sr-Cyrl-CS"/>
        </w:rPr>
        <w:t>:</w:t>
      </w:r>
      <w:r w:rsidRPr="00E64D87">
        <w:rPr>
          <w:rFonts w:ascii="Arial" w:hAnsi="Arial" w:cs="Arial"/>
          <w:sz w:val="20"/>
          <w:szCs w:val="20"/>
        </w:rPr>
        <w:t xml:space="preserve"> </w:t>
      </w:r>
      <w:hyperlink r:id="rId1" w:history="1">
        <w:r w:rsidRPr="00E64D87">
          <w:rPr>
            <w:rStyle w:val="Hyperlink"/>
            <w:rFonts w:ascii="Arial" w:hAnsi="Arial" w:cs="Arial"/>
            <w:sz w:val="20"/>
            <w:szCs w:val="20"/>
          </w:rPr>
          <w:t>http://www.legaltext.ee/et/andmebaas/tekst.asp?loc=text&amp;dok=X30024K8&amp;keel=en&amp;pg=1&amp;ptyyp=RT&amp;tyyp=X&amp;query=rahapesu</w:t>
        </w:r>
      </w:hyperlink>
      <w:r w:rsidRPr="00E64D87">
        <w:rPr>
          <w:rFonts w:ascii="Arial" w:hAnsi="Arial" w:cs="Arial"/>
          <w:sz w:val="20"/>
          <w:szCs w:val="20"/>
        </w:rPr>
        <w:t xml:space="preserve"> </w:t>
      </w:r>
    </w:p>
  </w:footnote>
  <w:footnote w:id="2">
    <w:p w:rsidR="00712D73" w:rsidRDefault="00712D73" w:rsidP="00712D73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12D73">
        <w:rPr>
          <w:lang w:val="sv-FI"/>
        </w:rPr>
        <w:t>Internet</w:t>
      </w:r>
      <w:r>
        <w:t xml:space="preserve">: </w:t>
      </w:r>
      <w:hyperlink r:id="rId2" w:history="1">
        <w:r w:rsidRPr="007B199B">
          <w:rPr>
            <w:rStyle w:val="Hyperlink"/>
          </w:rPr>
          <w:t>https://www.politsei.ee/en/organisatsioon/rahapesu-andmeburoo/</w:t>
        </w:r>
      </w:hyperlink>
      <w:r>
        <w:t xml:space="preserve"> </w:t>
      </w:r>
    </w:p>
  </w:footnote>
  <w:footnote w:id="3">
    <w:p w:rsidR="00712D73" w:rsidRPr="001751DA" w:rsidRDefault="00712D73" w:rsidP="00712D73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9348BB">
        <w:rPr>
          <w:rStyle w:val="FootnoteReference"/>
          <w:rFonts w:ascii="Arial" w:hAnsi="Arial" w:cs="Arial"/>
          <w:sz w:val="20"/>
          <w:szCs w:val="20"/>
        </w:rPr>
        <w:footnoteRef/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12D73">
        <w:rPr>
          <w:rFonts w:ascii="Arial" w:hAnsi="Arial" w:cs="Arial"/>
          <w:sz w:val="20"/>
          <w:szCs w:val="20"/>
          <w:lang w:val="sv-FI"/>
        </w:rPr>
        <w:t>Internet</w:t>
      </w:r>
      <w:r w:rsidRPr="009348BB">
        <w:rPr>
          <w:rFonts w:ascii="Arial" w:hAnsi="Arial" w:cs="Arial"/>
          <w:sz w:val="20"/>
          <w:szCs w:val="20"/>
          <w:lang w:val="sr-Cyrl-RS"/>
        </w:rPr>
        <w:t xml:space="preserve">: </w:t>
      </w:r>
      <w:hyperlink r:id="rId3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http://m.fbscyprus.com/docs/income-tax-law.pdf</w:t>
        </w:r>
      </w:hyperlink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</w:p>
  </w:footnote>
  <w:footnote w:id="4">
    <w:p w:rsidR="00712D73" w:rsidRPr="001751DA" w:rsidRDefault="00712D73" w:rsidP="00712D73">
      <w:pPr>
        <w:pStyle w:val="NoSpacing"/>
        <w:rPr>
          <w:rFonts w:ascii="Arial" w:hAnsi="Arial" w:cs="Arial"/>
          <w:b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>
        <w:rPr>
          <w:rFonts w:ascii="Arial" w:hAnsi="Arial" w:cs="Arial"/>
          <w:sz w:val="20"/>
          <w:szCs w:val="20"/>
          <w:lang w:val="sr-Latn-ME"/>
        </w:rPr>
        <w:t xml:space="preserve"> </w:t>
      </w:r>
      <w:r>
        <w:rPr>
          <w:rFonts w:ascii="Arial" w:hAnsi="Arial" w:cs="Arial"/>
          <w:sz w:val="20"/>
          <w:szCs w:val="20"/>
          <w:lang w:val="sr-Latn-ME"/>
        </w:rPr>
        <w:t>Internet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: </w:t>
      </w:r>
      <w:hyperlink r:id="rId4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http://www.mof.gov.cy/mof/ird/ird.nsf/dmlindex_en/dmlindex_en?OpenDocument</w:t>
        </w:r>
      </w:hyperlink>
      <w:r w:rsidRPr="001751DA">
        <w:rPr>
          <w:rFonts w:ascii="Arial" w:hAnsi="Arial" w:cs="Arial"/>
          <w:b/>
          <w:sz w:val="20"/>
          <w:szCs w:val="20"/>
          <w:lang w:val="sr-Latn-ME"/>
        </w:rPr>
        <w:t xml:space="preserve"> </w:t>
      </w:r>
    </w:p>
  </w:footnote>
  <w:footnote w:id="5">
    <w:p w:rsidR="00712D73" w:rsidRPr="001751DA" w:rsidRDefault="00712D73" w:rsidP="00712D73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>
        <w:rPr>
          <w:rFonts w:ascii="Arial" w:hAnsi="Arial" w:cs="Arial"/>
          <w:sz w:val="20"/>
          <w:szCs w:val="20"/>
          <w:lang w:val="sr-Latn-ME"/>
        </w:rPr>
        <w:t xml:space="preserve"> Internet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: </w:t>
      </w:r>
      <w:hyperlink r:id="rId5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http://www.law.gov.cy/law/mokas/mokas.nsf/index_en/index_en?OpenDocument</w:t>
        </w:r>
      </w:hyperlink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</w:p>
  </w:footnote>
  <w:footnote w:id="6">
    <w:p w:rsidR="00712D73" w:rsidRPr="001751DA" w:rsidRDefault="00712D73" w:rsidP="00712D73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>
        <w:rPr>
          <w:rFonts w:ascii="Arial" w:hAnsi="Arial" w:cs="Arial"/>
          <w:sz w:val="20"/>
          <w:szCs w:val="20"/>
          <w:lang w:val="sr-Latn-ME"/>
        </w:rPr>
        <w:t xml:space="preserve"> Internet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: </w:t>
      </w:r>
      <w:hyperlink r:id="rId6" w:history="1">
        <w:r w:rsidRPr="001751DA">
          <w:rPr>
            <w:rFonts w:ascii="Arial" w:hAnsi="Arial" w:cs="Arial"/>
            <w:color w:val="0000FF"/>
            <w:sz w:val="20"/>
            <w:szCs w:val="20"/>
            <w:u w:val="single"/>
            <w:lang w:val="sr-Latn-ME"/>
          </w:rPr>
          <w:t>http://www.vvc.gov.lv/export/sites/default/docs/LRTA/Likumi/On_Personal_Income_Tax.doc</w:t>
        </w:r>
      </w:hyperlink>
    </w:p>
  </w:footnote>
  <w:footnote w:id="7">
    <w:p w:rsidR="00712D73" w:rsidRPr="001751DA" w:rsidRDefault="00712D73" w:rsidP="00712D73">
      <w:pPr>
        <w:pStyle w:val="NoSpacing"/>
        <w:rPr>
          <w:rFonts w:ascii="Arial" w:hAnsi="Arial" w:cs="Arial"/>
          <w:sz w:val="20"/>
          <w:szCs w:val="20"/>
          <w:lang w:val="sr-Latn-ME"/>
        </w:rPr>
      </w:pPr>
      <w:r w:rsidRPr="001751DA">
        <w:rPr>
          <w:rStyle w:val="FootnoteReference"/>
          <w:rFonts w:ascii="Arial" w:hAnsi="Arial" w:cs="Arial"/>
          <w:sz w:val="20"/>
          <w:szCs w:val="20"/>
          <w:lang w:val="sr-Latn-ME"/>
        </w:rPr>
        <w:footnoteRef/>
      </w:r>
      <w:r>
        <w:rPr>
          <w:rFonts w:ascii="Arial" w:hAnsi="Arial" w:cs="Arial"/>
          <w:sz w:val="20"/>
          <w:szCs w:val="20"/>
          <w:lang w:val="sr-Latn-ME"/>
        </w:rPr>
        <w:t xml:space="preserve"> Internet</w:t>
      </w:r>
      <w:r w:rsidRPr="001751DA">
        <w:rPr>
          <w:rFonts w:ascii="Arial" w:hAnsi="Arial" w:cs="Arial"/>
          <w:sz w:val="20"/>
          <w:szCs w:val="20"/>
          <w:lang w:val="sr-Latn-ME"/>
        </w:rPr>
        <w:t xml:space="preserve">: </w:t>
      </w:r>
      <w:hyperlink r:id="rId7" w:history="1">
        <w:r w:rsidRPr="001751DA">
          <w:rPr>
            <w:rStyle w:val="Hyperlink"/>
            <w:rFonts w:ascii="Arial" w:hAnsi="Arial" w:cs="Arial"/>
            <w:sz w:val="20"/>
            <w:szCs w:val="20"/>
            <w:lang w:val="sr-Latn-ME"/>
          </w:rPr>
          <w:t>https://www.vid.gov.lv/default.aspx?hl=2</w:t>
        </w:r>
      </w:hyperlink>
      <w:r w:rsidRPr="001751DA">
        <w:rPr>
          <w:rFonts w:ascii="Arial" w:hAnsi="Arial" w:cs="Arial"/>
          <w:sz w:val="20"/>
          <w:szCs w:val="20"/>
          <w:lang w:val="sr-Latn-ME"/>
        </w:rPr>
        <w:t xml:space="preserve"> </w:t>
      </w:r>
    </w:p>
  </w:footnote>
  <w:footnote w:id="8">
    <w:p w:rsidR="00712D73" w:rsidRPr="001751DA" w:rsidRDefault="00712D73" w:rsidP="00712D73">
      <w:pPr>
        <w:pStyle w:val="FootnoteText"/>
        <w:jc w:val="left"/>
        <w:rPr>
          <w:lang w:val="sr-Latn-ME"/>
        </w:rPr>
      </w:pPr>
      <w:r>
        <w:rPr>
          <w:rStyle w:val="FootnoteReference"/>
        </w:rPr>
        <w:footnoteRef/>
      </w:r>
      <w:r w:rsidR="00244693">
        <w:t xml:space="preserve"> </w:t>
      </w:r>
      <w:r w:rsidR="00244693">
        <w:rPr>
          <w:lang w:val="en-US"/>
        </w:rPr>
        <w:t>Internet</w:t>
      </w:r>
      <w:r>
        <w:t xml:space="preserve">: </w:t>
      </w:r>
      <w:r w:rsidRPr="007C0FA9">
        <w:t xml:space="preserve"> </w:t>
      </w:r>
      <w:hyperlink r:id="rId8" w:history="1">
        <w:r w:rsidRPr="001751DA">
          <w:rPr>
            <w:rStyle w:val="Hyperlink"/>
            <w:lang w:val="sr-Latn-ME"/>
          </w:rPr>
          <w:t>http://www.minv.sk/swift_data/source/policia/naka_opr/fsj/Annual%20report%202012.pdf</w:t>
        </w:r>
      </w:hyperlink>
      <w:r w:rsidRPr="001751DA">
        <w:rPr>
          <w:lang w:val="sr-Latn-ME"/>
        </w:rPr>
        <w:t xml:space="preserve"> </w:t>
      </w:r>
    </w:p>
  </w:footnote>
  <w:footnote w:id="9">
    <w:p w:rsidR="00712D73" w:rsidRPr="00D91EE7" w:rsidRDefault="00712D73" w:rsidP="00712D73">
      <w:pPr>
        <w:pStyle w:val="FootnoteText"/>
        <w:jc w:val="left"/>
      </w:pPr>
      <w:r>
        <w:rPr>
          <w:rStyle w:val="FootnoteReference"/>
        </w:rPr>
        <w:footnoteRef/>
      </w:r>
      <w:r w:rsidR="00244693">
        <w:t xml:space="preserve"> </w:t>
      </w:r>
      <w:r w:rsidR="00244693">
        <w:rPr>
          <w:lang w:val="en-US"/>
        </w:rPr>
        <w:t>Internet</w:t>
      </w:r>
      <w:bookmarkStart w:id="9" w:name="_GoBack"/>
      <w:bookmarkEnd w:id="9"/>
      <w:r>
        <w:t xml:space="preserve">: </w:t>
      </w:r>
      <w:hyperlink r:id="rId9" w:anchor="id=pro2" w:history="1">
        <w:r w:rsidRPr="000C1A16">
          <w:rPr>
            <w:rStyle w:val="Hyperlink"/>
          </w:rPr>
          <w:t>http://www.porezna-uprava.hr/hr_propisi/_layouts/in2.vuk.sp.propisi.intranet/propisi.aspx#id=pro2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25573"/>
    <w:multiLevelType w:val="hybridMultilevel"/>
    <w:tmpl w:val="62FAA00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62EC4"/>
    <w:multiLevelType w:val="hybridMultilevel"/>
    <w:tmpl w:val="8878C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EF5E2C"/>
    <w:multiLevelType w:val="hybridMultilevel"/>
    <w:tmpl w:val="F7761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75B06"/>
    <w:multiLevelType w:val="hybridMultilevel"/>
    <w:tmpl w:val="A3A2083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61247B"/>
    <w:multiLevelType w:val="hybridMultilevel"/>
    <w:tmpl w:val="0EECD17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CFB3B30"/>
    <w:multiLevelType w:val="hybridMultilevel"/>
    <w:tmpl w:val="650E3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4858DC">
      <w:numFmt w:val="bullet"/>
      <w:lvlText w:val="-"/>
      <w:lvlJc w:val="left"/>
      <w:pPr>
        <w:ind w:left="1440" w:hanging="360"/>
      </w:pPr>
      <w:rPr>
        <w:rFonts w:ascii="Arial" w:eastAsia="MS Mincho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DB79DD"/>
    <w:multiLevelType w:val="hybridMultilevel"/>
    <w:tmpl w:val="C0B216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D73"/>
    <w:rsid w:val="00045393"/>
    <w:rsid w:val="001A306B"/>
    <w:rsid w:val="00244693"/>
    <w:rsid w:val="00712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D"/>
    <w:next w:val="Heading1"/>
    <w:qFormat/>
    <w:rsid w:val="00712D73"/>
    <w:pPr>
      <w:spacing w:after="0" w:line="360" w:lineRule="auto"/>
      <w:jc w:val="both"/>
    </w:pPr>
    <w:rPr>
      <w:rFonts w:ascii="Arial" w:eastAsia="MS Mincho" w:hAnsi="Arial" w:cs="Times New Roman"/>
      <w:bCs/>
      <w:iCs/>
      <w:sz w:val="20"/>
      <w:szCs w:val="28"/>
      <w:lang w:val="sr-Cyrl-R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712D73"/>
    <w:pPr>
      <w:keepNext/>
      <w:spacing w:before="240" w:after="60"/>
      <w:jc w:val="left"/>
      <w:outlineLvl w:val="0"/>
    </w:pPr>
    <w:rPr>
      <w:rFonts w:cs="Arial"/>
      <w:b/>
      <w:bCs w:val="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2D73"/>
    <w:pPr>
      <w:keepNext/>
      <w:spacing w:before="240" w:after="60"/>
      <w:outlineLvl w:val="1"/>
    </w:pPr>
    <w:rPr>
      <w:rFonts w:cs="Arial"/>
      <w:b/>
      <w:bCs w:val="0"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D73"/>
    <w:rPr>
      <w:rFonts w:ascii="Arial" w:eastAsia="MS Mincho" w:hAnsi="Arial" w:cs="Arial"/>
      <w:b/>
      <w:iCs/>
      <w:kern w:val="32"/>
      <w:sz w:val="20"/>
      <w:szCs w:val="32"/>
      <w:lang w:val="sr-Cyrl-RS" w:eastAsia="ja-JP"/>
    </w:rPr>
  </w:style>
  <w:style w:type="character" w:customStyle="1" w:styleId="Heading2Char">
    <w:name w:val="Heading 2 Char"/>
    <w:basedOn w:val="DefaultParagraphFont"/>
    <w:link w:val="Heading2"/>
    <w:rsid w:val="00712D73"/>
    <w:rPr>
      <w:rFonts w:ascii="Arial" w:eastAsia="MS Mincho" w:hAnsi="Arial" w:cs="Arial"/>
      <w:b/>
      <w:i/>
      <w:sz w:val="20"/>
      <w:szCs w:val="28"/>
      <w:lang w:val="sr-Cyrl-R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712D7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D73"/>
    <w:rPr>
      <w:rFonts w:ascii="Arial" w:eastAsia="MS Mincho" w:hAnsi="Arial" w:cs="Times New Roman"/>
      <w:bCs/>
      <w:iCs/>
      <w:sz w:val="20"/>
      <w:szCs w:val="20"/>
      <w:lang w:val="sr-Cyrl-RS" w:eastAsia="ja-JP"/>
    </w:rPr>
  </w:style>
  <w:style w:type="character" w:styleId="FootnoteReference">
    <w:name w:val="footnote reference"/>
    <w:basedOn w:val="DefaultParagraphFont"/>
    <w:uiPriority w:val="99"/>
    <w:semiHidden/>
    <w:rsid w:val="00712D73"/>
    <w:rPr>
      <w:vertAlign w:val="superscript"/>
    </w:rPr>
  </w:style>
  <w:style w:type="character" w:styleId="Hyperlink">
    <w:name w:val="Hyperlink"/>
    <w:basedOn w:val="DefaultParagraphFont"/>
    <w:uiPriority w:val="99"/>
    <w:rsid w:val="00712D7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12D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73"/>
    <w:rPr>
      <w:rFonts w:ascii="Arial" w:eastAsia="MS Mincho" w:hAnsi="Arial" w:cs="Times New Roman"/>
      <w:bCs/>
      <w:iCs/>
      <w:sz w:val="20"/>
      <w:szCs w:val="28"/>
      <w:lang w:val="sr-Cyrl-RS" w:eastAsia="ja-JP"/>
    </w:rPr>
  </w:style>
  <w:style w:type="character" w:styleId="PageNumber">
    <w:name w:val="page number"/>
    <w:basedOn w:val="DefaultParagraphFont"/>
    <w:rsid w:val="00712D73"/>
  </w:style>
  <w:style w:type="paragraph" w:styleId="TOC1">
    <w:name w:val="toc 1"/>
    <w:basedOn w:val="Normal"/>
    <w:next w:val="Normal"/>
    <w:autoRedefine/>
    <w:uiPriority w:val="39"/>
    <w:qFormat/>
    <w:rsid w:val="00712D73"/>
    <w:pPr>
      <w:spacing w:before="120"/>
      <w:jc w:val="left"/>
    </w:pPr>
    <w:rPr>
      <w:i/>
      <w:sz w:val="22"/>
      <w:szCs w:val="24"/>
    </w:rPr>
  </w:style>
  <w:style w:type="character" w:customStyle="1" w:styleId="hps">
    <w:name w:val="hps"/>
    <w:basedOn w:val="DefaultParagraphFont"/>
    <w:rsid w:val="00712D73"/>
  </w:style>
  <w:style w:type="paragraph" w:styleId="NoSpacing">
    <w:name w:val="No Spacing"/>
    <w:link w:val="NoSpacingChar"/>
    <w:qFormat/>
    <w:rsid w:val="00712D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712D73"/>
    <w:rPr>
      <w:rFonts w:ascii="Calibri" w:eastAsia="Times New Roman" w:hAnsi="Calibri" w:cs="Times New Roman"/>
    </w:rPr>
  </w:style>
  <w:style w:type="paragraph" w:customStyle="1" w:styleId="align-center">
    <w:name w:val="align-center"/>
    <w:basedOn w:val="Normal"/>
    <w:rsid w:val="00712D73"/>
    <w:pPr>
      <w:spacing w:before="100" w:beforeAutospacing="1" w:after="100" w:afterAutospacing="1"/>
      <w:jc w:val="center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12D7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12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73"/>
    <w:rPr>
      <w:rFonts w:ascii="Tahoma" w:eastAsia="MS Mincho" w:hAnsi="Tahoma" w:cs="Tahoma"/>
      <w:bCs/>
      <w:iCs/>
      <w:sz w:val="16"/>
      <w:szCs w:val="16"/>
      <w:lang w:val="sr-Cyrl-R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RAD"/>
    <w:next w:val="Heading1"/>
    <w:qFormat/>
    <w:rsid w:val="00712D73"/>
    <w:pPr>
      <w:spacing w:after="0" w:line="360" w:lineRule="auto"/>
      <w:jc w:val="both"/>
    </w:pPr>
    <w:rPr>
      <w:rFonts w:ascii="Arial" w:eastAsia="MS Mincho" w:hAnsi="Arial" w:cs="Times New Roman"/>
      <w:bCs/>
      <w:iCs/>
      <w:sz w:val="20"/>
      <w:szCs w:val="28"/>
      <w:lang w:val="sr-Cyrl-RS" w:eastAsia="ja-JP"/>
    </w:rPr>
  </w:style>
  <w:style w:type="paragraph" w:styleId="Heading1">
    <w:name w:val="heading 1"/>
    <w:basedOn w:val="Normal"/>
    <w:next w:val="Normal"/>
    <w:link w:val="Heading1Char"/>
    <w:autoRedefine/>
    <w:qFormat/>
    <w:rsid w:val="00712D73"/>
    <w:pPr>
      <w:keepNext/>
      <w:spacing w:before="240" w:after="60"/>
      <w:jc w:val="left"/>
      <w:outlineLvl w:val="0"/>
    </w:pPr>
    <w:rPr>
      <w:rFonts w:cs="Arial"/>
      <w:b/>
      <w:bCs w:val="0"/>
      <w:kern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712D73"/>
    <w:pPr>
      <w:keepNext/>
      <w:spacing w:before="240" w:after="60"/>
      <w:outlineLvl w:val="1"/>
    </w:pPr>
    <w:rPr>
      <w:rFonts w:cs="Arial"/>
      <w:b/>
      <w:bCs w:val="0"/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2D73"/>
    <w:rPr>
      <w:rFonts w:ascii="Arial" w:eastAsia="MS Mincho" w:hAnsi="Arial" w:cs="Arial"/>
      <w:b/>
      <w:iCs/>
      <w:kern w:val="32"/>
      <w:sz w:val="20"/>
      <w:szCs w:val="32"/>
      <w:lang w:val="sr-Cyrl-RS" w:eastAsia="ja-JP"/>
    </w:rPr>
  </w:style>
  <w:style w:type="character" w:customStyle="1" w:styleId="Heading2Char">
    <w:name w:val="Heading 2 Char"/>
    <w:basedOn w:val="DefaultParagraphFont"/>
    <w:link w:val="Heading2"/>
    <w:rsid w:val="00712D73"/>
    <w:rPr>
      <w:rFonts w:ascii="Arial" w:eastAsia="MS Mincho" w:hAnsi="Arial" w:cs="Arial"/>
      <w:b/>
      <w:i/>
      <w:sz w:val="20"/>
      <w:szCs w:val="28"/>
      <w:lang w:val="sr-Cyrl-RS" w:eastAsia="ja-JP"/>
    </w:rPr>
  </w:style>
  <w:style w:type="paragraph" w:styleId="FootnoteText">
    <w:name w:val="footnote text"/>
    <w:basedOn w:val="Normal"/>
    <w:link w:val="FootnoteTextChar"/>
    <w:uiPriority w:val="99"/>
    <w:semiHidden/>
    <w:rsid w:val="00712D73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12D73"/>
    <w:rPr>
      <w:rFonts w:ascii="Arial" w:eastAsia="MS Mincho" w:hAnsi="Arial" w:cs="Times New Roman"/>
      <w:bCs/>
      <w:iCs/>
      <w:sz w:val="20"/>
      <w:szCs w:val="20"/>
      <w:lang w:val="sr-Cyrl-RS" w:eastAsia="ja-JP"/>
    </w:rPr>
  </w:style>
  <w:style w:type="character" w:styleId="FootnoteReference">
    <w:name w:val="footnote reference"/>
    <w:basedOn w:val="DefaultParagraphFont"/>
    <w:uiPriority w:val="99"/>
    <w:semiHidden/>
    <w:rsid w:val="00712D73"/>
    <w:rPr>
      <w:vertAlign w:val="superscript"/>
    </w:rPr>
  </w:style>
  <w:style w:type="character" w:styleId="Hyperlink">
    <w:name w:val="Hyperlink"/>
    <w:basedOn w:val="DefaultParagraphFont"/>
    <w:uiPriority w:val="99"/>
    <w:rsid w:val="00712D73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712D7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2D73"/>
    <w:rPr>
      <w:rFonts w:ascii="Arial" w:eastAsia="MS Mincho" w:hAnsi="Arial" w:cs="Times New Roman"/>
      <w:bCs/>
      <w:iCs/>
      <w:sz w:val="20"/>
      <w:szCs w:val="28"/>
      <w:lang w:val="sr-Cyrl-RS" w:eastAsia="ja-JP"/>
    </w:rPr>
  </w:style>
  <w:style w:type="character" w:styleId="PageNumber">
    <w:name w:val="page number"/>
    <w:basedOn w:val="DefaultParagraphFont"/>
    <w:rsid w:val="00712D73"/>
  </w:style>
  <w:style w:type="paragraph" w:styleId="TOC1">
    <w:name w:val="toc 1"/>
    <w:basedOn w:val="Normal"/>
    <w:next w:val="Normal"/>
    <w:autoRedefine/>
    <w:uiPriority w:val="39"/>
    <w:qFormat/>
    <w:rsid w:val="00712D73"/>
    <w:pPr>
      <w:spacing w:before="120"/>
      <w:jc w:val="left"/>
    </w:pPr>
    <w:rPr>
      <w:i/>
      <w:sz w:val="22"/>
      <w:szCs w:val="24"/>
    </w:rPr>
  </w:style>
  <w:style w:type="character" w:customStyle="1" w:styleId="hps">
    <w:name w:val="hps"/>
    <w:basedOn w:val="DefaultParagraphFont"/>
    <w:rsid w:val="00712D73"/>
  </w:style>
  <w:style w:type="paragraph" w:styleId="NoSpacing">
    <w:name w:val="No Spacing"/>
    <w:link w:val="NoSpacingChar"/>
    <w:qFormat/>
    <w:rsid w:val="00712D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basedOn w:val="DefaultParagraphFont"/>
    <w:link w:val="NoSpacing"/>
    <w:rsid w:val="00712D73"/>
    <w:rPr>
      <w:rFonts w:ascii="Calibri" w:eastAsia="Times New Roman" w:hAnsi="Calibri" w:cs="Times New Roman"/>
    </w:rPr>
  </w:style>
  <w:style w:type="paragraph" w:customStyle="1" w:styleId="align-center">
    <w:name w:val="align-center"/>
    <w:basedOn w:val="Normal"/>
    <w:rsid w:val="00712D73"/>
    <w:pPr>
      <w:spacing w:before="100" w:beforeAutospacing="1" w:after="100" w:afterAutospacing="1"/>
      <w:jc w:val="center"/>
    </w:pPr>
    <w:rPr>
      <w:rFonts w:eastAsia="Times New Roman"/>
      <w:b/>
      <w:bCs w:val="0"/>
      <w:iCs w:val="0"/>
      <w:sz w:val="24"/>
      <w:szCs w:val="24"/>
      <w:lang w:val="en-US" w:eastAsia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712D73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iCs w:val="0"/>
      <w:color w:val="365F91" w:themeColor="accent1" w:themeShade="BF"/>
      <w:kern w:val="0"/>
      <w:sz w:val="28"/>
      <w:szCs w:val="28"/>
      <w:lang w:val="en-US"/>
    </w:rPr>
  </w:style>
  <w:style w:type="paragraph" w:styleId="ListParagraph">
    <w:name w:val="List Paragraph"/>
    <w:basedOn w:val="Normal"/>
    <w:uiPriority w:val="34"/>
    <w:qFormat/>
    <w:rsid w:val="00712D7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12D7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D73"/>
    <w:rPr>
      <w:rFonts w:ascii="Tahoma" w:eastAsia="MS Mincho" w:hAnsi="Tahoma" w:cs="Tahoma"/>
      <w:bCs/>
      <w:iCs/>
      <w:sz w:val="16"/>
      <w:szCs w:val="16"/>
      <w:lang w:val="sr-Cyrl-R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istrazivanja@parlament.rs" TargetMode="Externa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v.sk/swift_data/source/policia/naka_opr/fsj/Annual%20report%202012.pdf" TargetMode="External"/><Relationship Id="rId3" Type="http://schemas.openxmlformats.org/officeDocument/2006/relationships/hyperlink" Target="http://m.fbscyprus.com/docs/income-tax-law.pdf" TargetMode="External"/><Relationship Id="rId7" Type="http://schemas.openxmlformats.org/officeDocument/2006/relationships/hyperlink" Target="https://www.vid.gov.lv/default.aspx?hl=2" TargetMode="External"/><Relationship Id="rId2" Type="http://schemas.openxmlformats.org/officeDocument/2006/relationships/hyperlink" Target="https://www.politsei.ee/en/organisatsioon/rahapesu-andmeburoo/" TargetMode="External"/><Relationship Id="rId1" Type="http://schemas.openxmlformats.org/officeDocument/2006/relationships/hyperlink" Target="http://www.legaltext.ee/et/andmebaas/tekst.asp?loc=text&amp;dok=X30024K8&amp;keel=en&amp;pg=1&amp;ptyyp=RT&amp;tyyp=X&amp;query=rahapesu" TargetMode="External"/><Relationship Id="rId6" Type="http://schemas.openxmlformats.org/officeDocument/2006/relationships/hyperlink" Target="http://www.vvc.gov.lv/export/sites/default/docs/LRTA/Likumi/On_Personal_Income_Tax.doc" TargetMode="External"/><Relationship Id="rId5" Type="http://schemas.openxmlformats.org/officeDocument/2006/relationships/hyperlink" Target="http://www.law.gov.cy/law/mokas/mokas.nsf/index_en/index_en?OpenDocument" TargetMode="External"/><Relationship Id="rId4" Type="http://schemas.openxmlformats.org/officeDocument/2006/relationships/hyperlink" Target="http://www.mof.gov.cy/mof/ird/ird.nsf/dmlindex_en/dmlindex_en?OpenDocument" TargetMode="External"/><Relationship Id="rId9" Type="http://schemas.openxmlformats.org/officeDocument/2006/relationships/hyperlink" Target="http://www.porezna-uprava.hr/hr_propisi/_layouts/in2.vuk.sp.propisi.intranet/propisi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C87E9E-222E-4A2F-8F5A-1C6D4B7306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2</cp:revision>
  <dcterms:created xsi:type="dcterms:W3CDTF">2015-10-27T12:59:00Z</dcterms:created>
  <dcterms:modified xsi:type="dcterms:W3CDTF">2015-10-27T13:15:00Z</dcterms:modified>
</cp:coreProperties>
</file>